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s="方正小标宋简体"/>
          <w:sz w:val="44"/>
          <w:szCs w:val="44"/>
        </w:rPr>
      </w:pPr>
      <w:bookmarkStart w:id="0" w:name="_Hlk145509873"/>
      <w:r>
        <w:rPr>
          <w:rFonts w:hint="eastAsia" w:ascii="方正小标宋简体" w:hAnsi="方正小标宋简体" w:eastAsia="方正小标宋简体" w:cs="方正小标宋简体"/>
          <w:sz w:val="44"/>
          <w:szCs w:val="44"/>
        </w:rPr>
        <w:t>资产评估机构从事证券服务业务备案办法</w:t>
      </w:r>
    </w:p>
    <w:bookmarkEnd w:id="0"/>
    <w:p>
      <w:pPr>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w:t>
      </w:r>
      <w:r>
        <w:rPr>
          <w:rFonts w:hint="eastAsia" w:ascii="方正小标宋简体" w:hAnsi="方正小标宋简体" w:eastAsia="方正小标宋简体" w:cs="方正小标宋简体"/>
          <w:sz w:val="32"/>
          <w:szCs w:val="32"/>
          <w:lang w:eastAsia="zh-CN"/>
        </w:rPr>
        <w:t>征求意见</w:t>
      </w:r>
      <w:bookmarkStart w:id="3" w:name="_GoBack"/>
      <w:bookmarkEnd w:id="3"/>
      <w:r>
        <w:rPr>
          <w:rFonts w:hint="eastAsia" w:ascii="方正小标宋简体" w:hAnsi="方正小标宋简体" w:eastAsia="方正小标宋简体" w:cs="方正小标宋简体"/>
          <w:sz w:val="32"/>
          <w:szCs w:val="32"/>
        </w:rPr>
        <w:t>稿）</w:t>
      </w:r>
    </w:p>
    <w:p>
      <w:pPr>
        <w:jc w:val="center"/>
        <w:rPr>
          <w:rFonts w:ascii="SimHei" w:hAnsi="SimHei" w:eastAsia="SimHei" w:cs="SimHei"/>
          <w:sz w:val="32"/>
          <w:szCs w:val="32"/>
        </w:rPr>
      </w:pPr>
    </w:p>
    <w:p>
      <w:pPr>
        <w:jc w:val="center"/>
        <w:rPr>
          <w:rFonts w:ascii="SimHei" w:hAnsi="SimHei" w:eastAsia="SimHei" w:cs="SimHei"/>
          <w:sz w:val="32"/>
          <w:szCs w:val="32"/>
        </w:rPr>
      </w:pPr>
      <w:r>
        <w:rPr>
          <w:rFonts w:hint="eastAsia" w:ascii="SimHei" w:hAnsi="SimHei" w:eastAsia="SimHei" w:cs="SimHei"/>
          <w:sz w:val="32"/>
          <w:szCs w:val="32"/>
        </w:rPr>
        <w:t>第一章 总则</w:t>
      </w:r>
    </w:p>
    <w:p>
      <w:pPr>
        <w:rPr>
          <w:rFonts w:ascii="FangSong_GB2312" w:hAnsi="FangSong" w:eastAsia="FangSong_GB2312" w:cs="FangSong"/>
          <w:sz w:val="32"/>
          <w:szCs w:val="32"/>
        </w:rPr>
      </w:pPr>
      <w:r>
        <w:rPr>
          <w:rFonts w:hint="eastAsia" w:ascii="FangSong_GB2312" w:hAnsi="FangSong" w:eastAsia="FangSong_GB2312" w:cs="FangSong"/>
          <w:sz w:val="32"/>
          <w:szCs w:val="32"/>
        </w:rPr>
        <w:t xml:space="preserve">    第一条 为加强对资产评估机构从事证券服务业务的监督管理，规范资产评估机构从事证券服务业务备案行为，推动形成市场化筛选及科学管理格局，根据</w:t>
      </w:r>
      <w:r>
        <w:rPr>
          <w:rFonts w:hint="eastAsia" w:ascii="FangSong_GB2312" w:hAnsi="FangSong" w:eastAsia="FangSong_GB2312"/>
          <w:sz w:val="32"/>
          <w:szCs w:val="32"/>
        </w:rPr>
        <w:t>《中华人民共和国资产评估法》</w:t>
      </w:r>
      <w:r>
        <w:rPr>
          <w:rFonts w:hint="eastAsia" w:ascii="FangSong_GB2312" w:hAnsi="FangSong" w:eastAsia="FangSong_GB2312"/>
          <w:sz w:val="32"/>
          <w:szCs w:val="32"/>
          <w:lang w:eastAsia="zh-CN"/>
        </w:rPr>
        <w:t>、</w:t>
      </w:r>
      <w:r>
        <w:rPr>
          <w:rFonts w:hint="eastAsia" w:ascii="FangSong_GB2312" w:hAnsi="FangSong" w:eastAsia="FangSong_GB2312"/>
          <w:sz w:val="32"/>
          <w:szCs w:val="32"/>
        </w:rPr>
        <w:t>《中华人民共和国</w:t>
      </w:r>
      <w:r>
        <w:rPr>
          <w:rFonts w:hint="eastAsia" w:ascii="FangSong_GB2312" w:hAnsi="FangSong" w:eastAsia="FangSong_GB2312" w:cs="FangSong"/>
          <w:sz w:val="32"/>
          <w:szCs w:val="32"/>
        </w:rPr>
        <w:t>证券法</w:t>
      </w:r>
      <w:r>
        <w:rPr>
          <w:rFonts w:hint="eastAsia" w:ascii="FangSong_GB2312" w:hAnsi="FangSong" w:eastAsia="FangSong_GB2312"/>
          <w:sz w:val="32"/>
          <w:szCs w:val="32"/>
        </w:rPr>
        <w:t>》等规定</w:t>
      </w:r>
      <w:r>
        <w:rPr>
          <w:rFonts w:hint="eastAsia" w:ascii="FangSong_GB2312" w:hAnsi="FangSong" w:eastAsia="FangSong_GB2312" w:cs="FangSong"/>
          <w:sz w:val="32"/>
          <w:szCs w:val="32"/>
        </w:rPr>
        <w:t>，制定本办法。</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第二条 资产评估机构从事证券服务业务,应当遵守《资产评估行业财政监督管理办法》（财政部令第97号）有关规定。</w:t>
      </w:r>
    </w:p>
    <w:p>
      <w:pPr>
        <w:widowControl/>
        <w:ind w:firstLine="640" w:firstLineChars="200"/>
        <w:jc w:val="left"/>
      </w:pPr>
      <w:r>
        <w:rPr>
          <w:rFonts w:hint="eastAsia" w:ascii="FangSong_GB2312" w:hAnsi="FangSong" w:eastAsia="FangSong_GB2312" w:cs="FangSong"/>
          <w:sz w:val="32"/>
          <w:szCs w:val="32"/>
        </w:rPr>
        <w:t>第三条 财政部、中国证监会依法对资产评估机构从事证券服务业务的备案行为实施监督管理。中国</w:t>
      </w:r>
      <w:r>
        <w:rPr>
          <w:rFonts w:hint="eastAsia" w:ascii="FangSong_GB2312" w:hAnsi="FangSong" w:eastAsia="FangSong_GB2312" w:cs="FangSong"/>
          <w:sz w:val="32"/>
          <w:szCs w:val="32"/>
          <w:lang w:bidi="ar"/>
        </w:rPr>
        <w:t>资产评估协会对资产评估机构从事证券服务业务实施自律管理。</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财政部、中国证监会为资产评估机构从事证券服务业务备案,不代表对其从事证券服务业务执业能力的认可。</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第四条 为</w:t>
      </w:r>
      <w:r>
        <w:rPr>
          <w:rFonts w:ascii="FangSong_GB2312" w:hAnsi="FangSong" w:eastAsia="FangSong_GB2312" w:cs="FangSong"/>
          <w:sz w:val="32"/>
          <w:szCs w:val="32"/>
        </w:rPr>
        <w:t>证券的交易及相关活动提供</w:t>
      </w:r>
      <w:r>
        <w:rPr>
          <w:rFonts w:hint="eastAsia" w:ascii="FangSong_GB2312" w:hAnsi="FangSong" w:eastAsia="FangSong_GB2312" w:cs="FangSong"/>
          <w:sz w:val="32"/>
          <w:szCs w:val="32"/>
        </w:rPr>
        <w:t>下列证券服务</w:t>
      </w:r>
      <w:r>
        <w:rPr>
          <w:rFonts w:hint="eastAsia" w:ascii="FangSong_GB2312" w:hAnsi="FangSong" w:eastAsia="FangSong_GB2312" w:cs="FangSong"/>
          <w:sz w:val="32"/>
          <w:szCs w:val="32"/>
          <w:lang w:eastAsia="zh-CN"/>
        </w:rPr>
        <w:t>的</w:t>
      </w:r>
      <w:r>
        <w:rPr>
          <w:rFonts w:hint="eastAsia" w:ascii="FangSong_GB2312" w:hAnsi="FangSong" w:eastAsia="FangSong_GB2312" w:cs="FangSong"/>
          <w:sz w:val="32"/>
          <w:szCs w:val="32"/>
        </w:rPr>
        <w:t xml:space="preserve">资产评估机构，应当按照本办法进行备案： </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（一）为证券发行、上市、挂牌、交易的主体及其控制的主体、并购标的等制作、出具资产评估报告；</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（二）为证券公司及其资产管理产品制作、出具资产评估报告；</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（三）财政部、中国证监会规定的其他业务。</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第五条 未按照本办法第四条规定备案的资产评估机构出具的资产评估报告，不得用于证券业务活动。</w:t>
      </w:r>
    </w:p>
    <w:p>
      <w:pPr>
        <w:ind w:firstLine="640" w:firstLineChars="200"/>
        <w:rPr>
          <w:rFonts w:ascii="FangSong_GB2312" w:hAnsi="FangSong_GB2312" w:eastAsia="FangSong_GB2312" w:cs="FangSong_GB2312"/>
          <w:sz w:val="32"/>
          <w:szCs w:val="32"/>
        </w:rPr>
      </w:pPr>
    </w:p>
    <w:p>
      <w:pPr>
        <w:jc w:val="center"/>
        <w:rPr>
          <w:rFonts w:ascii="SimHei" w:hAnsi="SimHei" w:eastAsia="SimHei" w:cs="SimHei"/>
          <w:sz w:val="32"/>
          <w:szCs w:val="32"/>
        </w:rPr>
      </w:pPr>
      <w:r>
        <w:rPr>
          <w:rFonts w:hint="eastAsia" w:ascii="SimHei" w:hAnsi="SimHei" w:eastAsia="SimHei" w:cs="SimHei"/>
          <w:sz w:val="32"/>
          <w:szCs w:val="32"/>
        </w:rPr>
        <w:t>第二章 备案要求、备案材料和备案方式</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第六条 资产评估机构从事证券服务业务备案按照业务环节分为首次从事证券服务业务备案（以下简称首次备案）、重大事项备案、年度备案。</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第七条 符合本办法第八条规定的资产评估机构首次从事证券服务业务，应当向财政部、</w:t>
      </w:r>
      <w:r>
        <w:rPr>
          <w:rFonts w:hint="eastAsia" w:ascii="FangSong_GB2312" w:hAnsi="FangSong_GB2312" w:eastAsia="FangSong_GB2312" w:cs="FangSong_GB2312"/>
          <w:sz w:val="32"/>
          <w:szCs w:val="32"/>
        </w:rPr>
        <w:t>中国</w:t>
      </w:r>
      <w:r>
        <w:rPr>
          <w:rFonts w:hint="eastAsia" w:ascii="FangSong_GB2312" w:hAnsi="FangSong" w:eastAsia="FangSong_GB2312" w:cs="FangSong"/>
          <w:sz w:val="32"/>
          <w:szCs w:val="32"/>
        </w:rPr>
        <w:t>证监会备案。</w:t>
      </w:r>
    </w:p>
    <w:p>
      <w:pPr>
        <w:ind w:firstLine="640" w:firstLineChars="200"/>
        <w:rPr>
          <w:rFonts w:ascii="FangSong_GB2312" w:hAnsi="FangSong" w:eastAsia="FangSong_GB2312" w:cs="FangSong"/>
          <w:sz w:val="32"/>
          <w:szCs w:val="32"/>
          <w:highlight w:val="yellow"/>
        </w:rPr>
      </w:pPr>
      <w:r>
        <w:rPr>
          <w:rFonts w:hint="eastAsia" w:ascii="FangSong_GB2312" w:hAnsi="FangSong" w:eastAsia="FangSong_GB2312" w:cs="FangSong"/>
          <w:sz w:val="32"/>
          <w:szCs w:val="32"/>
        </w:rPr>
        <w:t>财政部、</w:t>
      </w:r>
      <w:r>
        <w:rPr>
          <w:rFonts w:hint="eastAsia" w:ascii="FangSong_GB2312" w:hAnsi="FangSong_GB2312" w:eastAsia="FangSong_GB2312" w:cs="FangSong_GB2312"/>
          <w:sz w:val="32"/>
          <w:szCs w:val="32"/>
        </w:rPr>
        <w:t>中国</w:t>
      </w:r>
      <w:r>
        <w:rPr>
          <w:rFonts w:hint="eastAsia" w:ascii="FangSong_GB2312" w:hAnsi="FangSong" w:eastAsia="FangSong_GB2312" w:cs="FangSong"/>
          <w:sz w:val="32"/>
          <w:szCs w:val="32"/>
        </w:rPr>
        <w:t>证监会建立信息共享工作机制，切实加强数据信息的共享和运用。</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第八条 资产评估机构首次备案从事证券服务业务应当满足如下要求：</w:t>
      </w:r>
    </w:p>
    <w:p>
      <w:pPr>
        <w:ind w:firstLine="640" w:firstLineChars="200"/>
        <w:jc w:val="left"/>
        <w:rPr>
          <w:rFonts w:ascii="FangSong_GB2312" w:hAnsi="FangSong" w:eastAsia="FangSong_GB2312" w:cs="FangSong"/>
          <w:sz w:val="32"/>
          <w:szCs w:val="32"/>
        </w:rPr>
      </w:pPr>
      <w:r>
        <w:rPr>
          <w:rFonts w:ascii="FangSong_GB2312" w:hAnsi="FangSong" w:eastAsia="FangSong_GB2312" w:cs="FangSong"/>
          <w:sz w:val="32"/>
          <w:szCs w:val="32"/>
        </w:rPr>
        <w:t>（</w:t>
      </w:r>
      <w:r>
        <w:rPr>
          <w:rFonts w:hint="eastAsia" w:ascii="FangSong_GB2312" w:hAnsi="FangSong" w:eastAsia="FangSong_GB2312" w:cs="FangSong"/>
          <w:sz w:val="32"/>
          <w:szCs w:val="32"/>
        </w:rPr>
        <w:t>一</w:t>
      </w:r>
      <w:r>
        <w:rPr>
          <w:rFonts w:ascii="FangSong_GB2312" w:hAnsi="FangSong" w:eastAsia="FangSong_GB2312" w:cs="FangSong"/>
          <w:sz w:val="32"/>
          <w:szCs w:val="32"/>
        </w:rPr>
        <w:t>）</w:t>
      </w:r>
      <w:r>
        <w:rPr>
          <w:rFonts w:hint="eastAsia" w:ascii="FangSong_GB2312" w:hAnsi="FangSong" w:eastAsia="FangSong_GB2312" w:cs="FangSong"/>
          <w:sz w:val="32"/>
          <w:szCs w:val="32"/>
        </w:rPr>
        <w:t>内部管理规范，已建立涵盖人员管理、财务管理、业务管理、技术标准和信息化建设等内部管理制度并且运行良好；</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（二）质量控制体系健全并且运行良好，鼓励质量控制体系有效运行</w:t>
      </w:r>
      <w:r>
        <w:rPr>
          <w:rFonts w:ascii="FangSong_GB2312" w:hAnsi="FangSong" w:eastAsia="FangSong_GB2312" w:cs="FangSong"/>
          <w:sz w:val="32"/>
          <w:szCs w:val="32"/>
        </w:rPr>
        <w:t>3</w:t>
      </w:r>
      <w:r>
        <w:rPr>
          <w:rFonts w:hint="eastAsia" w:ascii="FangSong_GB2312" w:hAnsi="FangSong" w:eastAsia="FangSong_GB2312" w:cs="FangSong"/>
          <w:sz w:val="32"/>
          <w:szCs w:val="32"/>
        </w:rPr>
        <w:t>年以上；</w:t>
      </w:r>
    </w:p>
    <w:p>
      <w:pPr>
        <w:ind w:firstLine="640"/>
        <w:rPr>
          <w:rFonts w:ascii="FangSong_GB2312" w:hAnsi="FangSong" w:eastAsia="FangSong_GB2312" w:cs="FangSong"/>
          <w:sz w:val="32"/>
          <w:szCs w:val="32"/>
        </w:rPr>
      </w:pPr>
      <w:r>
        <w:rPr>
          <w:rFonts w:hint="eastAsia" w:ascii="FangSong_GB2312" w:hAnsi="FangSong" w:eastAsia="FangSong_GB2312" w:cs="FangSong"/>
          <w:sz w:val="32"/>
          <w:szCs w:val="32"/>
        </w:rPr>
        <w:t>（三）具备与从事证券服务业务相匹配的执业人员，鼓励资产评估师人数超过40人，其中，过半数资产评估师连续执业3年以上，首席评估师、质量控制负责人具备10年以上评估经验且在本资产评估机构连续执业3年以上，过半数签名资产评估师和过半数项目审核人员具备连续5年以上证券评估业务经验；</w:t>
      </w:r>
    </w:p>
    <w:p>
      <w:pPr>
        <w:numPr>
          <w:ilvl w:val="0"/>
          <w:numId w:val="1"/>
        </w:numPr>
        <w:ind w:firstLine="640"/>
        <w:rPr>
          <w:rFonts w:ascii="FangSong_GB2312" w:hAnsi="FangSong" w:eastAsia="FangSong_GB2312" w:cs="FangSong"/>
          <w:sz w:val="32"/>
          <w:szCs w:val="32"/>
        </w:rPr>
      </w:pPr>
      <w:r>
        <w:rPr>
          <w:rFonts w:hint="eastAsia" w:ascii="FangSong_GB2312" w:hAnsi="FangSong" w:eastAsia="FangSong_GB2312" w:cs="FangSong"/>
          <w:sz w:val="32"/>
          <w:szCs w:val="32"/>
        </w:rPr>
        <w:t>按照《资产评估机构职业风险基金管理办法》规定提取职业风险基金或者购买职业责任保险，鼓励职业风险基金余额或者职业责任保险累计赔偿限额不低于5</w:t>
      </w:r>
      <w:r>
        <w:rPr>
          <w:rFonts w:ascii="FangSong_GB2312" w:hAnsi="FangSong" w:eastAsia="FangSong_GB2312" w:cs="FangSong"/>
          <w:sz w:val="32"/>
          <w:szCs w:val="32"/>
        </w:rPr>
        <w:t>00</w:t>
      </w:r>
      <w:r>
        <w:rPr>
          <w:rFonts w:hint="eastAsia" w:ascii="FangSong_GB2312" w:hAnsi="FangSong" w:eastAsia="FangSong_GB2312" w:cs="FangSong"/>
          <w:sz w:val="32"/>
          <w:szCs w:val="32"/>
        </w:rPr>
        <w:t>万元；</w:t>
      </w:r>
    </w:p>
    <w:p>
      <w:pPr>
        <w:widowControl/>
        <w:ind w:firstLine="640"/>
        <w:jc w:val="left"/>
        <w:rPr>
          <w:rFonts w:ascii="FangSong_GB2312" w:hAnsi="FangSong" w:eastAsia="FangSong_GB2312" w:cs="FangSong"/>
          <w:sz w:val="32"/>
          <w:szCs w:val="32"/>
        </w:rPr>
      </w:pPr>
      <w:r>
        <w:rPr>
          <w:rFonts w:hint="eastAsia" w:ascii="FangSong_GB2312" w:hAnsi="FangSong" w:eastAsia="FangSong_GB2312" w:cs="FangSong"/>
          <w:sz w:val="32"/>
          <w:szCs w:val="32"/>
        </w:rPr>
        <w:t>（五）法定代表人、首席评估师、质量控制负责人等人员近3年不存在因执业行为受到刑事处罚，或者受到省级以上财政部门、中国证监会</w:t>
      </w:r>
      <w:r>
        <w:rPr>
          <w:rFonts w:hint="eastAsia" w:ascii="FangSong_GB2312" w:hAnsi="FangSong_GB2312" w:eastAsia="FangSong_GB2312" w:cs="FangSong_GB2312"/>
          <w:sz w:val="32"/>
          <w:szCs w:val="32"/>
        </w:rPr>
        <w:t>行政处罚的情形，在首次备案过程中不存在被省级以上财政部门、中国证监会立案调查或者被司法机关侦查的情形</w:t>
      </w:r>
      <w:r>
        <w:rPr>
          <w:rFonts w:hint="eastAsia" w:ascii="FangSong_GB2312" w:hAnsi="FangSong" w:eastAsia="FangSong_GB2312" w:cs="FangSong"/>
          <w:sz w:val="32"/>
          <w:szCs w:val="32"/>
        </w:rPr>
        <w:t>；</w:t>
      </w:r>
    </w:p>
    <w:p>
      <w:pPr>
        <w:ind w:firstLine="640"/>
        <w:rPr>
          <w:rFonts w:ascii="FangSong_GB2312" w:hAnsi="FangSong" w:eastAsia="FangSong_GB2312" w:cs="FangSong"/>
          <w:sz w:val="32"/>
          <w:szCs w:val="32"/>
        </w:rPr>
      </w:pPr>
      <w:r>
        <w:rPr>
          <w:rFonts w:hint="eastAsia" w:ascii="FangSong_GB2312" w:hAnsi="FangSong" w:eastAsia="FangSong_GB2312" w:cs="FangSong"/>
          <w:sz w:val="32"/>
          <w:szCs w:val="32"/>
        </w:rPr>
        <w:t>（六）资产评估机构近3年不存在因执业行为受到刑事处罚，或者受到省级以上</w:t>
      </w:r>
      <w:r>
        <w:rPr>
          <w:rFonts w:hint="eastAsia" w:ascii="FangSong_GB2312" w:hAnsi="FangSong_GB2312" w:eastAsia="FangSong_GB2312" w:cs="FangSong_GB2312"/>
          <w:sz w:val="32"/>
          <w:szCs w:val="32"/>
        </w:rPr>
        <w:t>财政部门、中国证监会</w:t>
      </w:r>
      <w:r>
        <w:rPr>
          <w:rFonts w:hint="eastAsia" w:ascii="FangSong_GB2312" w:hAnsi="FangSong" w:eastAsia="FangSong_GB2312" w:cs="FangSong"/>
          <w:sz w:val="32"/>
          <w:szCs w:val="32"/>
        </w:rPr>
        <w:t>行政处罚的情形；</w:t>
      </w:r>
      <w:r>
        <w:rPr>
          <w:rFonts w:ascii="FangSong_GB2312" w:hAnsi="FangSong" w:eastAsia="FangSong_GB2312" w:cs="FangSong"/>
          <w:sz w:val="32"/>
          <w:szCs w:val="32"/>
        </w:rPr>
        <w:t xml:space="preserve"> </w:t>
      </w:r>
    </w:p>
    <w:p>
      <w:pPr>
        <w:ind w:firstLine="640"/>
        <w:rPr>
          <w:rFonts w:ascii="FangSong_GB2312" w:hAnsi="FangSong" w:eastAsia="FangSong_GB2312" w:cs="FangSong"/>
          <w:sz w:val="32"/>
          <w:szCs w:val="32"/>
        </w:rPr>
      </w:pPr>
      <w:r>
        <w:rPr>
          <w:rFonts w:ascii="FangSong_GB2312" w:hAnsi="FangSong" w:eastAsia="FangSong_GB2312" w:cs="FangSong"/>
          <w:sz w:val="32"/>
          <w:szCs w:val="32"/>
        </w:rPr>
        <w:t>（</w:t>
      </w:r>
      <w:r>
        <w:rPr>
          <w:rFonts w:hint="eastAsia" w:ascii="FangSong_GB2312" w:hAnsi="FangSong" w:eastAsia="FangSong_GB2312" w:cs="FangSong"/>
          <w:sz w:val="32"/>
          <w:szCs w:val="32"/>
        </w:rPr>
        <w:t>七</w:t>
      </w:r>
      <w:r>
        <w:rPr>
          <w:rFonts w:ascii="FangSong_GB2312" w:hAnsi="FangSong" w:eastAsia="FangSong_GB2312" w:cs="FangSong"/>
          <w:sz w:val="32"/>
          <w:szCs w:val="32"/>
        </w:rPr>
        <w:t>）</w:t>
      </w:r>
      <w:r>
        <w:rPr>
          <w:rFonts w:hint="eastAsia" w:ascii="FangSong_GB2312" w:hAnsi="FangSong" w:eastAsia="FangSong_GB2312" w:cs="FangSong"/>
          <w:sz w:val="32"/>
          <w:szCs w:val="32"/>
        </w:rPr>
        <w:t>备案材料齐备。相关材料和信息真实、准确、完整，资产评估机构近3年不存在因备案材料存在</w:t>
      </w:r>
      <w:r>
        <w:rPr>
          <w:rFonts w:hint="eastAsia" w:ascii="FangSong_GB2312" w:hAnsi="FangSong_GB2312" w:eastAsia="FangSong_GB2312" w:cs="FangSong_GB2312"/>
          <w:sz w:val="32"/>
          <w:szCs w:val="32"/>
        </w:rPr>
        <w:t>虚假记载、误导性陈述或者重大遗漏</w:t>
      </w:r>
      <w:r>
        <w:rPr>
          <w:rFonts w:hint="eastAsia" w:ascii="FangSong_GB2312" w:hAnsi="FangSong" w:eastAsia="FangSong_GB2312" w:cs="FangSong"/>
          <w:sz w:val="32"/>
          <w:szCs w:val="32"/>
        </w:rPr>
        <w:t>而未通过、注销首次备案的情形；</w:t>
      </w:r>
    </w:p>
    <w:p>
      <w:pPr>
        <w:ind w:firstLine="640"/>
        <w:rPr>
          <w:rFonts w:ascii="FangSong_GB2312" w:hAnsi="FangSong" w:eastAsia="FangSong_GB2312" w:cs="FangSong"/>
          <w:sz w:val="32"/>
          <w:szCs w:val="32"/>
        </w:rPr>
      </w:pPr>
      <w:r>
        <w:rPr>
          <w:rFonts w:hint="eastAsia" w:ascii="FangSong_GB2312" w:hAnsi="FangSong" w:eastAsia="FangSong_GB2312" w:cs="FangSong"/>
          <w:sz w:val="32"/>
          <w:szCs w:val="32"/>
        </w:rPr>
        <w:t>（八）资产评估机构</w:t>
      </w:r>
      <w:r>
        <w:rPr>
          <w:rFonts w:hint="eastAsia" w:ascii="FangSong_GB2312" w:hAnsi="FangSong_GB2312" w:eastAsia="FangSong_GB2312" w:cs="FangSong_GB2312"/>
          <w:sz w:val="32"/>
          <w:szCs w:val="32"/>
        </w:rPr>
        <w:t>及其执业人员</w:t>
      </w:r>
      <w:r>
        <w:rPr>
          <w:rFonts w:hint="eastAsia" w:ascii="FangSong_GB2312" w:hAnsi="FangSong" w:eastAsia="FangSong_GB2312" w:cs="FangSong"/>
          <w:sz w:val="32"/>
          <w:szCs w:val="32"/>
        </w:rPr>
        <w:t>在执业中不存在行贿、受贿等行为；</w:t>
      </w:r>
    </w:p>
    <w:p>
      <w:pPr>
        <w:ind w:firstLine="640"/>
        <w:rPr>
          <w:rFonts w:ascii="FangSong_GB2312" w:hAnsi="FangSong" w:eastAsia="FangSong_GB2312" w:cs="FangSong"/>
          <w:sz w:val="32"/>
          <w:szCs w:val="32"/>
        </w:rPr>
      </w:pPr>
      <w:r>
        <w:rPr>
          <w:rFonts w:ascii="FangSong_GB2312" w:hAnsi="FangSong" w:eastAsia="FangSong_GB2312" w:cs="FangSong"/>
          <w:sz w:val="32"/>
          <w:szCs w:val="32"/>
        </w:rPr>
        <w:t>（</w:t>
      </w:r>
      <w:r>
        <w:rPr>
          <w:rFonts w:hint="eastAsia" w:ascii="FangSong_GB2312" w:hAnsi="FangSong" w:eastAsia="FangSong_GB2312" w:cs="FangSong"/>
          <w:sz w:val="32"/>
          <w:szCs w:val="32"/>
        </w:rPr>
        <w:t>九</w:t>
      </w:r>
      <w:r>
        <w:rPr>
          <w:rFonts w:ascii="FangSong_GB2312" w:hAnsi="FangSong" w:eastAsia="FangSong_GB2312" w:cs="FangSong"/>
          <w:sz w:val="32"/>
          <w:szCs w:val="32"/>
        </w:rPr>
        <w:t>）</w:t>
      </w:r>
      <w:r>
        <w:rPr>
          <w:rFonts w:hint="eastAsia" w:ascii="FangSong_GB2312" w:hAnsi="FangSong" w:eastAsia="FangSong_GB2312" w:cs="FangSong"/>
          <w:sz w:val="32"/>
          <w:szCs w:val="32"/>
        </w:rPr>
        <w:t>财政部、中国证监会规定的其他要求。</w:t>
      </w:r>
    </w:p>
    <w:p>
      <w:pPr>
        <w:numPr>
          <w:ilvl w:val="255"/>
          <w:numId w:val="0"/>
        </w:numPr>
        <w:ind w:firstLine="640"/>
        <w:rPr>
          <w:rFonts w:ascii="FangSong_GB2312" w:hAnsi="FangSong" w:eastAsia="FangSong_GB2312" w:cs="FangSong"/>
          <w:sz w:val="32"/>
          <w:szCs w:val="32"/>
        </w:rPr>
      </w:pPr>
      <w:r>
        <w:rPr>
          <w:rFonts w:hint="eastAsia" w:ascii="FangSong_GB2312" w:hAnsi="FangSong" w:eastAsia="FangSong_GB2312" w:cs="FangSong"/>
          <w:sz w:val="32"/>
          <w:szCs w:val="32"/>
        </w:rPr>
        <w:t>已备案从事证券服务业务的资产评估机构应当持续满足前款第（一）至（五）项要求。</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第九条 资产评估机构首次备案应当报送下列材料：</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（一）资产评估机构首次从事证券服务业务备案表（附1）；</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 xml:space="preserve">（二）人员管理、财务管理、业务管理、技术标准和信息化建设等内部管理制度及执行情况的具体说明（附2）； </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（三）</w:t>
      </w:r>
      <w:r>
        <w:rPr>
          <w:rFonts w:hint="eastAsia" w:ascii="FangSong_GB2312" w:hAnsi="FangSong_GB2312" w:eastAsia="FangSong_GB2312" w:cs="FangSong_GB2312"/>
          <w:sz w:val="32"/>
          <w:szCs w:val="32"/>
        </w:rPr>
        <w:t>质量控制制度及运行情况说明</w:t>
      </w:r>
      <w:r>
        <w:rPr>
          <w:rFonts w:hint="eastAsia" w:ascii="FangSong_GB2312" w:hAnsi="FangSong" w:eastAsia="FangSong_GB2312" w:cs="FangSong"/>
          <w:sz w:val="32"/>
          <w:szCs w:val="32"/>
        </w:rPr>
        <w:t>；</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（四）近3年已开展的资产评估业务清单（附3）；</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（五）截至备案上月末资产评估师及管理人员情况表（附4）；</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（六）资产评估机构及其</w:t>
      </w:r>
      <w:r>
        <w:rPr>
          <w:rFonts w:hint="eastAsia" w:ascii="FangSong_GB2312" w:hAnsi="FangSong" w:eastAsia="FangSong_GB2312" w:cs="FangSong"/>
          <w:sz w:val="32"/>
          <w:szCs w:val="32"/>
          <w:highlight w:val="none"/>
        </w:rPr>
        <w:t>执业</w:t>
      </w:r>
      <w:r>
        <w:rPr>
          <w:rFonts w:hint="eastAsia" w:ascii="FangSong_GB2312" w:hAnsi="FangSong" w:eastAsia="FangSong_GB2312" w:cs="FangSong"/>
          <w:sz w:val="32"/>
          <w:szCs w:val="32"/>
        </w:rPr>
        <w:t>人员</w:t>
      </w:r>
      <w:r>
        <w:rPr>
          <w:rFonts w:hint="eastAsia" w:ascii="FangSong_GB2312" w:hAnsi="FangSong_GB2312" w:eastAsia="FangSong_GB2312" w:cs="FangSong_GB2312"/>
          <w:sz w:val="32"/>
          <w:szCs w:val="32"/>
        </w:rPr>
        <w:t>近3年</w:t>
      </w:r>
      <w:r>
        <w:rPr>
          <w:rFonts w:hint="eastAsia" w:ascii="FangSong_GB2312" w:hAnsi="FangSong" w:eastAsia="FangSong_GB2312" w:cs="FangSong"/>
          <w:sz w:val="32"/>
          <w:szCs w:val="32"/>
        </w:rPr>
        <w:t>因执业行为</w:t>
      </w:r>
      <w:r>
        <w:rPr>
          <w:rFonts w:hint="eastAsia" w:ascii="FangSong_GB2312" w:hAnsi="FangSong_GB2312" w:eastAsia="FangSong_GB2312" w:cs="FangSong_GB2312"/>
          <w:sz w:val="32"/>
          <w:szCs w:val="32"/>
        </w:rPr>
        <w:t>涉嫌违法违规被</w:t>
      </w:r>
      <w:r>
        <w:rPr>
          <w:rFonts w:hint="eastAsia" w:ascii="FangSong_GB2312" w:hAnsi="FangSong" w:eastAsia="FangSong_GB2312" w:cs="FangSong"/>
          <w:sz w:val="32"/>
          <w:szCs w:val="32"/>
        </w:rPr>
        <w:t>省级以上</w:t>
      </w:r>
      <w:r>
        <w:rPr>
          <w:rFonts w:hint="eastAsia" w:ascii="FangSong_GB2312" w:hAnsi="FangSong_GB2312" w:eastAsia="FangSong_GB2312" w:cs="FangSong_GB2312"/>
          <w:sz w:val="32"/>
          <w:szCs w:val="32"/>
        </w:rPr>
        <w:t>财政部门、中国证监会</w:t>
      </w:r>
      <w:r>
        <w:rPr>
          <w:rFonts w:hint="eastAsia" w:ascii="FangSong_GB2312" w:hAnsi="FangSong" w:eastAsia="FangSong_GB2312" w:cs="FangSong"/>
          <w:sz w:val="32"/>
          <w:szCs w:val="32"/>
        </w:rPr>
        <w:t>立案调查</w:t>
      </w:r>
      <w:r>
        <w:rPr>
          <w:rFonts w:hint="eastAsia" w:ascii="FangSong_GB2312" w:hAnsi="FangSong_GB2312" w:eastAsia="FangSong_GB2312" w:cs="FangSong_GB2312"/>
          <w:sz w:val="32"/>
          <w:szCs w:val="32"/>
        </w:rPr>
        <w:t>，或者</w:t>
      </w:r>
      <w:r>
        <w:rPr>
          <w:rFonts w:hint="eastAsia" w:ascii="FangSong_GB2312" w:hAnsi="FangSong" w:eastAsia="FangSong_GB2312" w:cs="FangSong"/>
          <w:sz w:val="32"/>
          <w:szCs w:val="32"/>
        </w:rPr>
        <w:t>被司法机关侦查，以及因执业行为受到刑事处罚、行政处罚或者行政处理、监督管理措施、自律监管措施、纪律处分的情况（附5）；</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（七）上一年度财务报表审计报告；</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八）职业责任保险或者职业风险基金情况说明及支持性文件（附6），未满足第八条第一款第（四）项鼓励条款内容的资产评估机构应当补充提供职业责任保险或者职业风险基金能够覆盖证券服务业务职业责任风险的详细说明及支持性文件；</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（九）关于备案材料和信息真实、准确、完整的承诺（附7）；</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（十）关于资产评估机构</w:t>
      </w:r>
      <w:r>
        <w:rPr>
          <w:rFonts w:hint="eastAsia" w:ascii="FangSong_GB2312" w:hAnsi="FangSong_GB2312" w:eastAsia="FangSong_GB2312" w:cs="FangSong_GB2312"/>
          <w:sz w:val="32"/>
          <w:szCs w:val="32"/>
        </w:rPr>
        <w:t>及其执业人员</w:t>
      </w:r>
      <w:r>
        <w:rPr>
          <w:rFonts w:hint="eastAsia" w:ascii="FangSong_GB2312" w:hAnsi="FangSong" w:eastAsia="FangSong_GB2312" w:cs="FangSong"/>
          <w:sz w:val="32"/>
          <w:szCs w:val="32"/>
        </w:rPr>
        <w:t>在执业中不存在行贿、受贿等行为的承诺（附8）；</w:t>
      </w:r>
    </w:p>
    <w:p>
      <w:pPr>
        <w:ind w:firstLine="640" w:firstLineChars="200"/>
        <w:rPr>
          <w:rFonts w:ascii="FangSong_GB2312" w:hAnsi="FangSong_GB2312" w:eastAsia="FangSong_GB2312" w:cs="FangSong_GB2312"/>
          <w:sz w:val="32"/>
          <w:szCs w:val="32"/>
        </w:rPr>
      </w:pPr>
      <w:r>
        <w:rPr>
          <w:rFonts w:hint="eastAsia" w:ascii="FangSong_GB2312" w:hAnsi="FangSong" w:eastAsia="FangSong_GB2312" w:cs="FangSong"/>
          <w:sz w:val="32"/>
          <w:szCs w:val="32"/>
        </w:rPr>
        <w:t>（十一）</w:t>
      </w:r>
      <w:r>
        <w:rPr>
          <w:rFonts w:hint="eastAsia" w:ascii="FangSong_GB2312" w:hAnsi="FangSong_GB2312" w:eastAsia="FangSong_GB2312" w:cs="FangSong_GB2312"/>
          <w:sz w:val="32"/>
          <w:szCs w:val="32"/>
        </w:rPr>
        <w:t>财政部、中国证监会规定的其他材料。</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第十条 资产评估机构从事证券服务业务，发生下列重大事项的，应当进行重大事项备案：</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（一）名称变更；</w:t>
      </w:r>
    </w:p>
    <w:p>
      <w:pPr>
        <w:ind w:firstLine="640" w:firstLineChars="200"/>
        <w:rPr>
          <w:rFonts w:ascii="FangSong_GB2312" w:hAnsi="FangSong" w:eastAsia="FangSong_GB2312" w:cs="FangSong"/>
          <w:sz w:val="32"/>
          <w:szCs w:val="32"/>
        </w:rPr>
      </w:pPr>
      <w:r>
        <w:rPr>
          <w:rFonts w:ascii="FangSong_GB2312" w:hAnsi="FangSong" w:eastAsia="FangSong_GB2312" w:cs="FangSong"/>
          <w:sz w:val="32"/>
          <w:szCs w:val="32"/>
        </w:rPr>
        <w:t>（二）</w:t>
      </w:r>
      <w:r>
        <w:rPr>
          <w:rFonts w:hint="eastAsia" w:ascii="FangSong_GB2312" w:hAnsi="FangSong" w:eastAsia="FangSong_GB2312" w:cs="FangSong"/>
          <w:sz w:val="32"/>
          <w:szCs w:val="32"/>
        </w:rPr>
        <w:t>法定代表人（执行合伙事务的合伙人）变更；</w:t>
      </w:r>
    </w:p>
    <w:p>
      <w:pPr>
        <w:ind w:firstLine="640" w:firstLineChars="200"/>
        <w:rPr>
          <w:rFonts w:ascii="FangSong_GB2312" w:hAnsi="FangSong" w:eastAsia="FangSong_GB2312" w:cs="FangSong"/>
          <w:sz w:val="32"/>
          <w:szCs w:val="32"/>
        </w:rPr>
      </w:pPr>
      <w:r>
        <w:rPr>
          <w:rFonts w:ascii="FangSong_GB2312" w:hAnsi="FangSong" w:eastAsia="FangSong_GB2312" w:cs="FangSong"/>
          <w:sz w:val="32"/>
          <w:szCs w:val="32"/>
        </w:rPr>
        <w:t>（三）</w:t>
      </w:r>
      <w:r>
        <w:rPr>
          <w:rFonts w:hint="eastAsia" w:ascii="FangSong_GB2312" w:hAnsi="FangSong" w:eastAsia="FangSong_GB2312" w:cs="FangSong"/>
          <w:sz w:val="32"/>
          <w:szCs w:val="32"/>
        </w:rPr>
        <w:t>合伙人或者持有百分之五以上股份的股东变更；</w:t>
      </w:r>
    </w:p>
    <w:p>
      <w:pPr>
        <w:ind w:firstLine="640" w:firstLineChars="200"/>
        <w:rPr>
          <w:rFonts w:ascii="FangSong_GB2312" w:hAnsi="FangSong" w:eastAsia="FangSong_GB2312" w:cs="FangSong"/>
          <w:sz w:val="32"/>
          <w:szCs w:val="32"/>
        </w:rPr>
      </w:pPr>
      <w:r>
        <w:rPr>
          <w:rFonts w:ascii="FangSong_GB2312" w:hAnsi="FangSong" w:eastAsia="FangSong_GB2312" w:cs="FangSong"/>
          <w:sz w:val="32"/>
          <w:szCs w:val="32"/>
        </w:rPr>
        <w:t>（四）经营场所</w:t>
      </w:r>
      <w:r>
        <w:rPr>
          <w:rFonts w:hint="eastAsia" w:ascii="FangSong_GB2312" w:hAnsi="FangSong" w:eastAsia="FangSong_GB2312" w:cs="FangSong"/>
          <w:sz w:val="32"/>
          <w:szCs w:val="32"/>
        </w:rPr>
        <w:t>变更；</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（五）组织形式变更；</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（六）设立或者撤销分支机构；</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（七）质量控制负责人变更；</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（八）内部管理制度、质量控制制度发生重大变更；</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（九）资产评估机构</w:t>
      </w:r>
      <w:r>
        <w:rPr>
          <w:rFonts w:hint="eastAsia" w:ascii="FangSong_GB2312" w:hAnsi="FangSong_GB2312" w:eastAsia="FangSong_GB2312" w:cs="FangSong_GB2312"/>
          <w:sz w:val="32"/>
          <w:szCs w:val="32"/>
        </w:rPr>
        <w:t>及其关键人员、执业人员</w:t>
      </w:r>
      <w:r>
        <w:rPr>
          <w:rFonts w:hint="eastAsia" w:ascii="FangSong_GB2312" w:hAnsi="FangSong" w:eastAsia="FangSong_GB2312" w:cs="FangSong"/>
          <w:sz w:val="32"/>
          <w:szCs w:val="32"/>
        </w:rPr>
        <w:t>因执业行为</w:t>
      </w:r>
      <w:r>
        <w:rPr>
          <w:rFonts w:hint="eastAsia" w:ascii="FangSong_GB2312" w:hAnsi="FangSong_GB2312" w:eastAsia="FangSong_GB2312" w:cs="FangSong_GB2312"/>
          <w:sz w:val="32"/>
          <w:szCs w:val="32"/>
        </w:rPr>
        <w:t>涉嫌违法违规</w:t>
      </w:r>
      <w:r>
        <w:rPr>
          <w:rFonts w:hint="eastAsia" w:ascii="FangSong_GB2312" w:hAnsi="FangSong" w:eastAsia="FangSong_GB2312" w:cs="FangSong"/>
          <w:sz w:val="32"/>
          <w:szCs w:val="32"/>
        </w:rPr>
        <w:t>被省级以上</w:t>
      </w:r>
      <w:r>
        <w:rPr>
          <w:rFonts w:hint="eastAsia" w:ascii="FangSong_GB2312" w:hAnsi="FangSong_GB2312" w:eastAsia="FangSong_GB2312" w:cs="FangSong_GB2312"/>
          <w:sz w:val="32"/>
          <w:szCs w:val="32"/>
        </w:rPr>
        <w:t>财政部门、中国证监会或者其他境内监管机构立案调查</w:t>
      </w:r>
      <w:r>
        <w:rPr>
          <w:rFonts w:hint="eastAsia" w:ascii="FangSong_GB2312" w:hAnsi="FangSong" w:eastAsia="FangSong_GB2312" w:cs="FangSong"/>
          <w:sz w:val="32"/>
          <w:szCs w:val="32"/>
        </w:rPr>
        <w:t>、行政处罚、行政处理、自律惩戒、纪律处分，或者因执业行为被</w:t>
      </w:r>
      <w:r>
        <w:rPr>
          <w:rFonts w:hint="eastAsia" w:ascii="FangSong_GB2312" w:hAnsi="FangSong_GB2312" w:eastAsia="FangSong_GB2312" w:cs="FangSong_GB2312"/>
          <w:sz w:val="32"/>
          <w:szCs w:val="32"/>
        </w:rPr>
        <w:t>境外监管机构检查调查、处理处罚，以及被</w:t>
      </w:r>
      <w:r>
        <w:rPr>
          <w:rFonts w:hint="eastAsia" w:ascii="FangSong_GB2312" w:hAnsi="FangSong" w:eastAsia="FangSong_GB2312" w:cs="FangSong"/>
          <w:sz w:val="32"/>
          <w:szCs w:val="32"/>
        </w:rPr>
        <w:t>司法机关侦查、刑事处罚的情况；</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（十）资产评估机构及其执业人员因执业行为与委托人、投资者发生民事纠纷，进行诉讼或者仲裁；</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（十一）出现不满足本办法第八条第（一）至（五）项关于内部管理、质量控制体系、执业人员、职业风险基金或者职业责任保险、关键人员要求的情形；</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（十二）财政部、中国证监会规定的其他重大事项。</w:t>
      </w:r>
    </w:p>
    <w:p>
      <w:pPr>
        <w:ind w:firstLine="640" w:firstLineChars="200"/>
        <w:rPr>
          <w:rFonts w:ascii="FangSong_GB2312" w:hAnsi="FangSong" w:eastAsia="FangSong_GB2312" w:cs="FangSong"/>
          <w:sz w:val="32"/>
          <w:szCs w:val="32"/>
        </w:rPr>
      </w:pPr>
      <w:bookmarkStart w:id="1" w:name="_Hlk164347779"/>
      <w:r>
        <w:rPr>
          <w:rFonts w:hint="eastAsia" w:ascii="FangSong_GB2312" w:hAnsi="FangSong" w:eastAsia="FangSong_GB2312" w:cs="FangSong"/>
          <w:sz w:val="32"/>
          <w:szCs w:val="32"/>
        </w:rPr>
        <w:t>资产评估机构发生上述第（一）至（六）项重大事项，应当按照规定在财政部门履行相关变更程序，财政部将相关信息推送至中国证监会，资产评估机构无需在备案系统中填报；发生其他重大事项的，资产评估机构应当在该事项发生之日起10个工作日内在备案系统内填报。</w:t>
      </w:r>
    </w:p>
    <w:bookmarkEnd w:id="1"/>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第十一条 资产评估机构从事证券服务业务，应当在每年5月31日前提交资产评估机构从事证券服务业务年度备案表（附9）和上一年度证券服务业务清单（附3）。</w:t>
      </w:r>
    </w:p>
    <w:p>
      <w:pPr>
        <w:ind w:firstLine="640" w:firstLineChars="200"/>
        <w:rPr>
          <w:rFonts w:ascii="FangSong_GB2312" w:hAnsi="FangSong_GB2312" w:eastAsia="FangSong_GB2312" w:cs="FangSong_GB2312"/>
          <w:sz w:val="32"/>
          <w:szCs w:val="32"/>
        </w:rPr>
      </w:pPr>
      <w:r>
        <w:rPr>
          <w:rFonts w:hint="eastAsia" w:ascii="FangSong_GB2312" w:hAnsi="FangSong" w:eastAsia="FangSong_GB2312" w:cs="FangSong"/>
          <w:sz w:val="32"/>
          <w:szCs w:val="32"/>
        </w:rPr>
        <w:t>年度备案内容包括资产评估机构基本情况和经营情况、</w:t>
      </w:r>
      <w:r>
        <w:rPr>
          <w:rFonts w:hint="eastAsia" w:ascii="FangSong_GB2312" w:hAnsi="FangSong_GB2312" w:eastAsia="FangSong_GB2312" w:cs="FangSong_GB2312"/>
          <w:sz w:val="32"/>
          <w:szCs w:val="32"/>
        </w:rPr>
        <w:t>内部管理和质量控制制度执行和变动情况，执业人员变动及执业情况、职业风险基金和职业保险情况、资产评估机构和执业人员处理处罚情况、上一年度开展证券服务业务情况，以及财政部、中国证监会规定的其他事项。</w:t>
      </w:r>
    </w:p>
    <w:p>
      <w:pPr>
        <w:ind w:firstLine="640" w:firstLineChars="200"/>
        <w:jc w:val="center"/>
        <w:rPr>
          <w:rFonts w:ascii="FangSong_GB2312" w:hAnsi="FangSong" w:eastAsia="FangSong_GB2312" w:cs="FangSong"/>
          <w:sz w:val="32"/>
          <w:szCs w:val="32"/>
        </w:rPr>
      </w:pPr>
    </w:p>
    <w:p>
      <w:pPr>
        <w:jc w:val="center"/>
        <w:rPr>
          <w:rFonts w:ascii="SimHei" w:hAnsi="SimHei" w:eastAsia="SimHei" w:cs="SimHei"/>
          <w:sz w:val="32"/>
          <w:szCs w:val="32"/>
        </w:rPr>
      </w:pPr>
      <w:r>
        <w:rPr>
          <w:rFonts w:hint="eastAsia" w:ascii="SimHei" w:hAnsi="SimHei" w:eastAsia="SimHei" w:cs="SimHei"/>
          <w:sz w:val="32"/>
          <w:szCs w:val="32"/>
        </w:rPr>
        <w:t>第三章 备案核验、公告和注销</w:t>
      </w:r>
    </w:p>
    <w:p>
      <w:pPr>
        <w:numPr>
          <w:ilvl w:val="255"/>
          <w:numId w:val="0"/>
        </w:numPr>
        <w:ind w:firstLine="640" w:firstLineChars="2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第十二条</w:t>
      </w:r>
      <w:r>
        <w:rPr>
          <w:rFonts w:hint="eastAsia" w:ascii="FangSong_GB2312" w:hAnsi="FangSong_GB2312" w:eastAsia="FangSong_GB2312" w:cs="FangSong_GB2312"/>
          <w:sz w:val="32"/>
          <w:szCs w:val="32"/>
          <w:lang w:val="en-US" w:eastAsia="zh-CN"/>
        </w:rPr>
        <w:t xml:space="preserve"> </w:t>
      </w:r>
      <w:r>
        <w:rPr>
          <w:rFonts w:hint="eastAsia" w:ascii="FangSong_GB2312" w:hAnsi="FangSong_GB2312" w:eastAsia="FangSong_GB2312" w:cs="FangSong_GB2312"/>
          <w:sz w:val="32"/>
          <w:szCs w:val="32"/>
        </w:rPr>
        <w:t>财政部、中国证监会对资产评估机构提交的备案材料开展核验。备案核验通常采用书面方式，必要时采用现场核验，其中首次备案应当进行现场核验。</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第十三条 财政部、中国证监会发现首次从事证券服务业务的备案材料不完备或者不符合规定的，应当在收到材料之日（不含）起10个工作日内一次性告知资产评估机构补正备案材料。资产评估机构应当在被告知之日（不含）起10个工作日内补正。逾期未补正的，视为未提交备案材料。</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第十四条 资产评估机构提供的备案材料完备且符合规定的，自收齐备案材料之日（不含）起2</w:t>
      </w:r>
      <w:r>
        <w:rPr>
          <w:rFonts w:ascii="FangSong_GB2312" w:hAnsi="FangSong" w:eastAsia="FangSong_GB2312" w:cs="FangSong"/>
          <w:sz w:val="32"/>
          <w:szCs w:val="32"/>
        </w:rPr>
        <w:t>0</w:t>
      </w:r>
      <w:r>
        <w:rPr>
          <w:rFonts w:hint="eastAsia" w:ascii="FangSong_GB2312" w:hAnsi="FangSong" w:eastAsia="FangSong_GB2312" w:cs="FangSong"/>
          <w:sz w:val="32"/>
          <w:szCs w:val="32"/>
        </w:rPr>
        <w:t>个工作日内，</w:t>
      </w:r>
      <w:r>
        <w:rPr>
          <w:rFonts w:hint="eastAsia" w:ascii="FangSong_GB2312" w:hAnsi="FangSong_GB2312" w:eastAsia="FangSong_GB2312" w:cs="FangSong_GB2312"/>
          <w:sz w:val="32"/>
          <w:szCs w:val="32"/>
        </w:rPr>
        <w:t>由财政部、中国证监会进行备案核验。核验通过后，财政部、中国证监会</w:t>
      </w:r>
      <w:r>
        <w:rPr>
          <w:rFonts w:hint="eastAsia" w:ascii="FangSong_GB2312" w:hAnsi="FangSong" w:eastAsia="FangSong_GB2312" w:cs="FangSong"/>
          <w:sz w:val="32"/>
          <w:szCs w:val="32"/>
        </w:rPr>
        <w:t>分别通过网站等方式，同时公告备案资产评估机构名单及相关基本信息。</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第十五条 资产评估机构应当在每年5月31日前按照有关要求公开上一年度基本情况、诚信记录、执业情况等相关信息。</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第十六条 已完成首次备案的资产评估机构出现下列情形之一的，财政部、中国证监会注销其证券服务业务备案并予以公告：</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lang w:bidi="ar"/>
        </w:rPr>
        <w:t>资产评估机构依法终止；</w:t>
      </w:r>
    </w:p>
    <w:p>
      <w:pPr>
        <w:numPr>
          <w:ilvl w:val="0"/>
          <w:numId w:val="2"/>
        </w:numPr>
        <w:ind w:firstLine="640" w:firstLineChars="200"/>
        <w:rPr>
          <w:rFonts w:ascii="FangSong_GB2312" w:hAnsi="FangSong" w:eastAsia="FangSong_GB2312" w:cs="FangSong"/>
          <w:sz w:val="32"/>
          <w:szCs w:val="32"/>
        </w:rPr>
      </w:pPr>
      <w:bookmarkStart w:id="2" w:name="_Hlk164348061"/>
      <w:r>
        <w:rPr>
          <w:rFonts w:hint="eastAsia" w:ascii="FangSong_GB2312" w:hAnsi="FangSong" w:eastAsia="FangSong_GB2312" w:cs="FangSong"/>
          <w:sz w:val="32"/>
          <w:szCs w:val="32"/>
        </w:rPr>
        <w:t>被省级财政部门注销备案；</w:t>
      </w:r>
    </w:p>
    <w:bookmarkEnd w:id="2"/>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资产评估机构或者其执业人员在执业中存在行贿、受贿等行为；</w:t>
      </w:r>
      <w:r>
        <w:rPr>
          <w:rFonts w:ascii="FangSong_GB2312" w:hAnsi="FangSong" w:eastAsia="FangSong_GB2312" w:cs="FangSong"/>
          <w:sz w:val="32"/>
          <w:szCs w:val="32"/>
        </w:rPr>
        <w:t xml:space="preserve"> </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自行申请注销证券服务业务备案；</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一个自然年度未出具证券服务业务资产评估报告；</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未按规定完成重大事项备案或者年度备案；</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备案材料或者信息存在虚假记载，误导性陈述或者重大遗漏；</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lang w:bidi="ar"/>
        </w:rPr>
        <w:t>资产评估机构或者其</w:t>
      </w:r>
      <w:r>
        <w:rPr>
          <w:rFonts w:hint="eastAsia" w:ascii="FangSong_GB2312" w:hAnsi="FangSong" w:eastAsia="FangSong_GB2312" w:cs="FangSong"/>
          <w:sz w:val="32"/>
          <w:szCs w:val="32"/>
        </w:rPr>
        <w:t>法定代表人、首席评估师、质量控制负责人、签名资产评估师等人员因执业行为受到刑事处罚；</w:t>
      </w:r>
    </w:p>
    <w:p>
      <w:pPr>
        <w:numPr>
          <w:ilvl w:val="0"/>
          <w:numId w:val="2"/>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财政部、中国证监会规定的其他情形。</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第十七条 已完成首次备案的资产评估机构出现下列情形之一的，财政部、中国证监会可以对其</w:t>
      </w:r>
      <w:r>
        <w:rPr>
          <w:rFonts w:hint="eastAsia" w:ascii="FangSong_GB2312" w:hAnsi="FangSong_GB2312" w:eastAsia="FangSong_GB2312" w:cs="FangSong_GB2312"/>
          <w:sz w:val="32"/>
          <w:szCs w:val="32"/>
        </w:rPr>
        <w:t>是否持续满足本办法第八条有关要求开展现场核验</w:t>
      </w:r>
      <w:r>
        <w:rPr>
          <w:rFonts w:hint="eastAsia" w:ascii="FangSong_GB2312" w:hAnsi="FangSong" w:eastAsia="FangSong_GB2312" w:cs="FangSong"/>
          <w:sz w:val="32"/>
          <w:szCs w:val="32"/>
        </w:rPr>
        <w:t>：</w:t>
      </w:r>
    </w:p>
    <w:p>
      <w:pPr>
        <w:numPr>
          <w:ilvl w:val="0"/>
          <w:numId w:val="3"/>
        </w:numPr>
        <w:spacing w:line="560" w:lineRule="exact"/>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涉嫌不满足本办法第八条第（一）至（五）项关于内部管理、质量控制体系、执业人员、职业风险基金或者职业责任保险、关键人员等要求；</w:t>
      </w:r>
    </w:p>
    <w:p>
      <w:pPr>
        <w:numPr>
          <w:ilvl w:val="255"/>
          <w:numId w:val="0"/>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（二）资产评估机构或者其法定代表人、首席评估师、质量控制负责人、签名资产评估师等人员因执业行为对评估行业或者资本市场造成重大不利影响的</w:t>
      </w:r>
      <w:r>
        <w:rPr>
          <w:rFonts w:hint="eastAsia" w:ascii="FangSong_GB2312" w:hAnsi="FangSong_GB2312" w:eastAsia="FangSong_GB2312" w:cs="FangSong_GB2312"/>
          <w:sz w:val="32"/>
          <w:szCs w:val="32"/>
        </w:rPr>
        <w:t>。</w:t>
      </w:r>
    </w:p>
    <w:p>
      <w:pPr>
        <w:numPr>
          <w:ilvl w:val="255"/>
          <w:numId w:val="0"/>
        </w:num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经现场核验未持续满足</w:t>
      </w:r>
      <w:r>
        <w:rPr>
          <w:rFonts w:hint="eastAsia" w:ascii="FangSong_GB2312" w:hAnsi="FangSong_GB2312" w:eastAsia="FangSong_GB2312" w:cs="FangSong_GB2312"/>
          <w:sz w:val="32"/>
          <w:szCs w:val="32"/>
        </w:rPr>
        <w:t>本办法第八条有关要求的资产评估机构</w:t>
      </w:r>
      <w:r>
        <w:rPr>
          <w:rFonts w:hint="eastAsia" w:ascii="FangSong_GB2312" w:hAnsi="FangSong" w:eastAsia="FangSong_GB2312" w:cs="FangSong"/>
          <w:sz w:val="32"/>
          <w:szCs w:val="32"/>
        </w:rPr>
        <w:t>，应当在6个月内完成整改，并自整改结束起10个工作日内向财政部、中国证监会报送整改报告。未整改或者整改后仍未达到本办法有关要求的，财政部、中国证监会注销其从事证券服务业务备案并予以公告。</w:t>
      </w:r>
    </w:p>
    <w:p>
      <w:pPr>
        <w:spacing w:line="560" w:lineRule="exact"/>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第十八条 除涉及本办法第十六条第（一）至（三）项情形外，被注销证券服务业务备案的资产评估机构后续再次备案的，应当满足首次备案要求及以下规定：</w:t>
      </w:r>
    </w:p>
    <w:p>
      <w:pPr>
        <w:spacing w:line="560" w:lineRule="exact"/>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（一）因触及本办法第十六条第（四）至（六）及第（九）项情形被注销备案的，自注销之日起至再次报送备案材料之日已满1年以上；</w:t>
      </w:r>
    </w:p>
    <w:p>
      <w:pPr>
        <w:spacing w:line="560" w:lineRule="exact"/>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（二）因触及本办法第十六条第（七）、（八）项、第十七条情形被注销备案的，自注销之日起至再次报送备案材料之日已满</w:t>
      </w:r>
      <w:r>
        <w:rPr>
          <w:rFonts w:ascii="FangSong_GB2312" w:hAnsi="FangSong" w:eastAsia="FangSong_GB2312" w:cs="FangSong"/>
          <w:sz w:val="32"/>
          <w:szCs w:val="32"/>
        </w:rPr>
        <w:t>3</w:t>
      </w:r>
      <w:r>
        <w:rPr>
          <w:rFonts w:hint="eastAsia" w:ascii="FangSong_GB2312" w:hAnsi="FangSong" w:eastAsia="FangSong_GB2312" w:cs="FangSong"/>
          <w:sz w:val="32"/>
          <w:szCs w:val="32"/>
        </w:rPr>
        <w:t>年以上。</w:t>
      </w:r>
    </w:p>
    <w:p>
      <w:pPr>
        <w:ind w:firstLine="640" w:firstLineChars="200"/>
        <w:rPr>
          <w:rFonts w:ascii="FangSong_GB2312" w:hAnsi="FangSong" w:eastAsia="FangSong_GB2312" w:cs="FangSong"/>
          <w:sz w:val="32"/>
          <w:szCs w:val="32"/>
        </w:rPr>
      </w:pPr>
    </w:p>
    <w:p>
      <w:pPr>
        <w:ind w:firstLine="640"/>
        <w:jc w:val="center"/>
        <w:rPr>
          <w:rFonts w:ascii="SimHei" w:hAnsi="SimHei" w:eastAsia="SimHei" w:cs="SimHei"/>
          <w:sz w:val="32"/>
          <w:szCs w:val="32"/>
        </w:rPr>
      </w:pPr>
      <w:r>
        <w:rPr>
          <w:rFonts w:hint="eastAsia" w:ascii="SimHei" w:hAnsi="SimHei" w:eastAsia="SimHei" w:cs="SimHei"/>
          <w:sz w:val="32"/>
          <w:szCs w:val="32"/>
        </w:rPr>
        <w:t>第四章 法律责任</w:t>
      </w:r>
    </w:p>
    <w:p>
      <w:pPr>
        <w:ind w:firstLine="640" w:firstLineChars="200"/>
        <w:rPr>
          <w:rFonts w:ascii="FangSong_GB2312" w:hAnsi="FangSong" w:eastAsia="FangSong_GB2312" w:cs="FangSong"/>
          <w:sz w:val="32"/>
          <w:szCs w:val="32"/>
        </w:rPr>
      </w:pPr>
      <w:r>
        <w:rPr>
          <w:rFonts w:hint="eastAsia" w:ascii="FangSong_GB2312" w:hAnsi="FangSong" w:eastAsia="FangSong_GB2312" w:cs="FangSong"/>
          <w:sz w:val="32"/>
          <w:szCs w:val="32"/>
        </w:rPr>
        <w:t>第十九条 资产评估机构未按照本办法规定备案的，依法承担法律责任。</w:t>
      </w:r>
    </w:p>
    <w:p>
      <w:pPr>
        <w:ind w:firstLine="640" w:firstLineChars="200"/>
        <w:jc w:val="left"/>
        <w:rPr>
          <w:rFonts w:ascii="FangSong_GB2312" w:hAnsi="FangSong" w:eastAsia="FangSong_GB2312" w:cs="FangSong"/>
          <w:sz w:val="32"/>
          <w:szCs w:val="32"/>
        </w:rPr>
      </w:pPr>
      <w:r>
        <w:rPr>
          <w:rFonts w:hint="eastAsia" w:ascii="FangSong_GB2312" w:hAnsi="FangSong" w:eastAsia="FangSong_GB2312" w:cs="FangSong"/>
          <w:sz w:val="32"/>
          <w:szCs w:val="32"/>
        </w:rPr>
        <w:t>第二十条 财政部、中国证监会及其工作人员在资产评估机构从事证券服务业务备案相关工作中，存在违反本办法规定的行为，以及其他滥用职权、玩忽职守、徇私舞弊等违纪违法行为的，按照《中华人民共和国公务员法》</w:t>
      </w:r>
      <w:r>
        <w:rPr>
          <w:rFonts w:hint="eastAsia" w:ascii="FangSong_GB2312" w:hAnsi="FangSong" w:eastAsia="FangSong_GB2312" w:cs="FangSong"/>
          <w:sz w:val="32"/>
          <w:szCs w:val="32"/>
          <w:lang w:eastAsia="zh-CN"/>
        </w:rPr>
        <w:t>、</w:t>
      </w:r>
      <w:r>
        <w:rPr>
          <w:rFonts w:hint="eastAsia" w:ascii="FangSong_GB2312" w:hAnsi="FangSong" w:eastAsia="FangSong_GB2312" w:cs="FangSong"/>
          <w:sz w:val="32"/>
          <w:szCs w:val="32"/>
        </w:rPr>
        <w:t>《中华人民共和国监察法》</w:t>
      </w:r>
      <w:r>
        <w:rPr>
          <w:rFonts w:hint="eastAsia" w:ascii="FangSong_GB2312" w:hAnsi="FangSong" w:eastAsia="FangSong_GB2312" w:cs="FangSong"/>
          <w:sz w:val="32"/>
          <w:szCs w:val="32"/>
          <w:lang w:eastAsia="zh-CN"/>
        </w:rPr>
        <w:t>、</w:t>
      </w:r>
      <w:r>
        <w:rPr>
          <w:rFonts w:hint="eastAsia" w:ascii="FangSong_GB2312" w:hAnsi="FangSong" w:eastAsia="FangSong_GB2312" w:cs="FangSong"/>
          <w:sz w:val="32"/>
          <w:szCs w:val="32"/>
        </w:rPr>
        <w:t>《中华人民共和国证券法》等国家有关规定追究相应责任。构成犯罪的，依法追究刑事责任。</w:t>
      </w:r>
    </w:p>
    <w:p>
      <w:pPr>
        <w:ind w:firstLine="640" w:firstLineChars="200"/>
        <w:jc w:val="left"/>
        <w:rPr>
          <w:rFonts w:ascii="FangSong_GB2312" w:hAnsi="FangSong" w:eastAsia="FangSong_GB2312" w:cs="FangSong"/>
          <w:sz w:val="32"/>
          <w:szCs w:val="32"/>
        </w:rPr>
      </w:pPr>
    </w:p>
    <w:p>
      <w:pPr>
        <w:jc w:val="center"/>
        <w:rPr>
          <w:rFonts w:ascii="SimHei" w:hAnsi="SimHei" w:eastAsia="SimHei" w:cs="SimHei"/>
          <w:sz w:val="32"/>
          <w:szCs w:val="32"/>
        </w:rPr>
      </w:pPr>
      <w:r>
        <w:rPr>
          <w:rFonts w:hint="eastAsia" w:ascii="SimHei" w:hAnsi="SimHei" w:eastAsia="SimHei" w:cs="SimHei"/>
          <w:sz w:val="32"/>
          <w:szCs w:val="32"/>
        </w:rPr>
        <w:t>第五章 附则</w:t>
      </w:r>
    </w:p>
    <w:p>
      <w:pPr>
        <w:ind w:firstLine="640" w:firstLineChars="200"/>
        <w:rPr>
          <w:rFonts w:ascii="FangSong_GB2312" w:hAnsi="FangSong_GB2312" w:eastAsia="FangSong_GB2312" w:cs="FangSong_GB2312"/>
          <w:sz w:val="32"/>
          <w:szCs w:val="32"/>
        </w:rPr>
      </w:pPr>
      <w:r>
        <w:rPr>
          <w:rFonts w:hint="eastAsia" w:ascii="FangSong_GB2312" w:hAnsi="FangSong" w:eastAsia="FangSong_GB2312" w:cs="FangSong_GB2312"/>
          <w:bCs/>
          <w:sz w:val="32"/>
          <w:szCs w:val="32"/>
        </w:rPr>
        <w:t>第二十一条 为基金期货经营机构及其发行的产品等提供证券服务业务的资产评估机构</w:t>
      </w:r>
      <w:r>
        <w:rPr>
          <w:rFonts w:hint="eastAsia" w:ascii="FangSong_GB2312" w:hAnsi="FangSong" w:eastAsia="FangSong_GB2312" w:cs="FangSong_GB2312"/>
          <w:bCs/>
          <w:sz w:val="32"/>
          <w:szCs w:val="32"/>
          <w:lang w:eastAsia="zh-CN"/>
        </w:rPr>
        <w:t>备案</w:t>
      </w:r>
      <w:r>
        <w:rPr>
          <w:rFonts w:hint="eastAsia" w:ascii="FangSong_GB2312" w:hAnsi="FangSong" w:eastAsia="FangSong_GB2312" w:cs="FangSong_GB2312"/>
          <w:bCs/>
          <w:sz w:val="32"/>
          <w:szCs w:val="32"/>
        </w:rPr>
        <w:t>，参照适用本办法。</w:t>
      </w:r>
    </w:p>
    <w:p>
      <w:pPr>
        <w:ind w:firstLine="640" w:firstLineChars="200"/>
        <w:rPr>
          <w:rFonts w:ascii="FangSong_GB2312" w:hAnsi="FangSong_GB2312" w:eastAsia="FangSong_GB2312" w:cs="FangSong_GB2312"/>
          <w:sz w:val="32"/>
          <w:szCs w:val="32"/>
        </w:rPr>
      </w:pPr>
      <w:r>
        <w:rPr>
          <w:rFonts w:hint="eastAsia" w:ascii="FangSong_GB2312" w:hAnsi="FangSong" w:eastAsia="FangSong_GB2312" w:cs="FangSong_GB2312"/>
          <w:bCs/>
          <w:sz w:val="32"/>
          <w:szCs w:val="32"/>
        </w:rPr>
        <w:t xml:space="preserve">第二十二条 </w:t>
      </w:r>
      <w:r>
        <w:rPr>
          <w:rFonts w:hint="eastAsia" w:ascii="FangSong_GB2312" w:hAnsi="FangSong_GB2312" w:eastAsia="FangSong_GB2312" w:cs="FangSong_GB2312"/>
          <w:sz w:val="32"/>
          <w:szCs w:val="32"/>
        </w:rPr>
        <w:t>本办法自2024年XX月XX日起施行。《财政部</w:t>
      </w:r>
      <w:r>
        <w:rPr>
          <w:rFonts w:hint="eastAsia" w:ascii="FangSong_GB2312" w:hAnsi="FangSong_GB2312" w:eastAsia="FangSong_GB2312" w:cs="FangSong_GB2312"/>
          <w:sz w:val="32"/>
          <w:szCs w:val="32"/>
          <w:lang w:val="en-US" w:eastAsia="zh-CN"/>
        </w:rPr>
        <w:t xml:space="preserve"> </w:t>
      </w:r>
      <w:r>
        <w:rPr>
          <w:rFonts w:hint="eastAsia" w:ascii="FangSong_GB2312" w:hAnsi="FangSong_GB2312" w:eastAsia="FangSong_GB2312" w:cs="FangSong_GB2312"/>
          <w:sz w:val="32"/>
          <w:szCs w:val="32"/>
        </w:rPr>
        <w:t>证监会关于联合印发</w:t>
      </w:r>
      <w:r>
        <w:rPr>
          <w:rFonts w:ascii="FangSong_GB2312" w:hAnsi="FangSong_GB2312" w:eastAsia="FangSong_GB2312" w:cs="FangSong_GB2312"/>
          <w:sz w:val="32"/>
          <w:szCs w:val="32"/>
          <w:lang w:val="en"/>
        </w:rPr>
        <w:t>&lt;</w:t>
      </w:r>
      <w:r>
        <w:rPr>
          <w:rFonts w:hint="eastAsia" w:ascii="FangSong_GB2312" w:hAnsi="FangSong_GB2312" w:eastAsia="FangSong_GB2312" w:cs="FangSong_GB2312"/>
          <w:sz w:val="32"/>
          <w:szCs w:val="32"/>
        </w:rPr>
        <w:t>资产评估机构从事证券服务业务备案办法</w:t>
      </w:r>
      <w:r>
        <w:rPr>
          <w:rFonts w:ascii="FangSong_GB2312" w:hAnsi="FangSong_GB2312" w:eastAsia="FangSong_GB2312" w:cs="FangSong_GB2312"/>
          <w:sz w:val="32"/>
          <w:szCs w:val="32"/>
          <w:lang w:val="en"/>
        </w:rPr>
        <w:t>&gt;</w:t>
      </w:r>
      <w:r>
        <w:rPr>
          <w:rFonts w:hint="eastAsia" w:ascii="FangSong_GB2312" w:hAnsi="FangSong_GB2312" w:eastAsia="FangSong_GB2312" w:cs="FangSong_GB2312"/>
          <w:sz w:val="32"/>
          <w:szCs w:val="32"/>
          <w:lang w:val="en"/>
        </w:rPr>
        <w:t>的通知</w:t>
      </w:r>
      <w:r>
        <w:rPr>
          <w:rFonts w:hint="eastAsia" w:ascii="FangSong_GB2312" w:hAnsi="FangSong_GB2312" w:eastAsia="FangSong_GB2312" w:cs="FangSong_GB2312"/>
          <w:sz w:val="32"/>
          <w:szCs w:val="32"/>
        </w:rPr>
        <w:t>》（财资〔2020〕114号）同时废止。《证券服务机构从事证券服务业务备案管理规定》（证监会公告〔2020〕52号）有关规定与本办法不一致的，以本办法为准。</w:t>
      </w:r>
    </w:p>
    <w:p>
      <w:pPr>
        <w:ind w:firstLine="640" w:firstLineChars="200"/>
        <w:rPr>
          <w:rFonts w:ascii="FangSong_GB2312" w:hAnsi="FangSong_GB2312" w:eastAsia="FangSong_GB2312" w:cs="FangSong_GB2312"/>
          <w:sz w:val="32"/>
          <w:szCs w:val="32"/>
        </w:rPr>
      </w:pPr>
    </w:p>
    <w:p>
      <w:pPr>
        <w:ind w:firstLine="640" w:firstLineChars="2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附：1.资产评估机构首次从事证券服务业务备案表</w:t>
      </w:r>
    </w:p>
    <w:p>
      <w:pPr>
        <w:ind w:firstLine="1280" w:firstLineChars="400"/>
        <w:rPr>
          <w:rFonts w:ascii="FangSong_GB2312" w:hAnsi="FangSong" w:eastAsia="FangSong_GB2312" w:cs="FangSong"/>
          <w:bCs/>
          <w:sz w:val="32"/>
          <w:szCs w:val="32"/>
        </w:rPr>
      </w:pPr>
      <w:r>
        <w:rPr>
          <w:rFonts w:hint="eastAsia" w:ascii="FangSong_GB2312" w:hAnsi="FangSong_GB2312" w:eastAsia="FangSong_GB2312" w:cs="FangSong_GB2312"/>
          <w:sz w:val="32"/>
          <w:szCs w:val="32"/>
        </w:rPr>
        <w:t>2.</w:t>
      </w:r>
      <w:r>
        <w:rPr>
          <w:rFonts w:hint="eastAsia" w:ascii="FangSong_GB2312" w:hAnsi="FangSong_GB2312" w:eastAsia="FangSong_GB2312" w:cs="FangSong_GB2312"/>
          <w:sz w:val="32"/>
          <w:szCs w:val="32"/>
          <w:lang w:eastAsia="zh-CN"/>
        </w:rPr>
        <w:t>资产评估机构</w:t>
      </w:r>
      <w:r>
        <w:rPr>
          <w:rFonts w:hint="eastAsia" w:ascii="FangSong_GB2312" w:hAnsi="FangSong_GB2312" w:eastAsia="FangSong_GB2312" w:cs="FangSong_GB2312"/>
          <w:sz w:val="32"/>
          <w:szCs w:val="32"/>
        </w:rPr>
        <w:t>内部管理制度及执行情况说明</w:t>
      </w:r>
    </w:p>
    <w:p>
      <w:pPr>
        <w:ind w:firstLine="1280" w:firstLineChars="4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3.资产评估业务清单</w:t>
      </w:r>
    </w:p>
    <w:p>
      <w:pPr>
        <w:ind w:firstLine="1280" w:firstLineChars="4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4.资产评估师及管理人员情况表</w:t>
      </w:r>
    </w:p>
    <w:p>
      <w:pPr>
        <w:ind w:firstLine="1280" w:firstLineChars="4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5.资产评估机构及其执业人员处罚处理情况表</w:t>
      </w:r>
    </w:p>
    <w:p>
      <w:pPr>
        <w:ind w:left="1277" w:leftChars="608"/>
        <w:rPr>
          <w:rFonts w:hint="eastAsia" w:ascii="FangSong_GB2312" w:hAnsi="FangSong_GB2312" w:eastAsia="FangSong_GB2312" w:cs="FangSong_GB2312"/>
          <w:sz w:val="32"/>
          <w:szCs w:val="32"/>
          <w:lang w:val="en-US" w:eastAsia="zh-CN"/>
        </w:rPr>
      </w:pPr>
      <w:r>
        <w:rPr>
          <w:rFonts w:hint="eastAsia" w:ascii="FangSong_GB2312" w:hAnsi="FangSong_GB2312" w:eastAsia="FangSong_GB2312" w:cs="FangSong_GB2312"/>
          <w:sz w:val="32"/>
          <w:szCs w:val="32"/>
        </w:rPr>
        <w:t>6.资产评估机构职业责任保险或者职业风险基金情况说</w:t>
      </w:r>
      <w:r>
        <w:rPr>
          <w:rFonts w:hint="eastAsia" w:ascii="FangSong_GB2312" w:hAnsi="FangSong_GB2312" w:eastAsia="FangSong_GB2312" w:cs="FangSong_GB2312"/>
          <w:sz w:val="32"/>
          <w:szCs w:val="32"/>
          <w:lang w:val="en-US" w:eastAsia="zh-CN"/>
        </w:rPr>
        <w:t xml:space="preserve"> </w:t>
      </w:r>
    </w:p>
    <w:p>
      <w:pPr>
        <w:ind w:left="1277" w:leftChars="608"/>
        <w:rPr>
          <w:rFonts w:ascii="FangSong_GB2312" w:hAnsi="FangSong_GB2312" w:eastAsia="FangSong_GB2312" w:cs="FangSong_GB2312"/>
          <w:sz w:val="32"/>
          <w:szCs w:val="32"/>
        </w:rPr>
      </w:pPr>
      <w:r>
        <w:rPr>
          <w:rFonts w:hint="eastAsia" w:ascii="FangSong_GB2312" w:hAnsi="FangSong_GB2312" w:eastAsia="FangSong_GB2312" w:cs="FangSong_GB2312"/>
          <w:sz w:val="32"/>
          <w:szCs w:val="32"/>
          <w:lang w:val="en-US" w:eastAsia="zh-CN"/>
        </w:rPr>
        <w:t xml:space="preserve">  </w:t>
      </w:r>
      <w:r>
        <w:rPr>
          <w:rFonts w:hint="eastAsia" w:ascii="FangSong_GB2312" w:hAnsi="FangSong_GB2312" w:eastAsia="FangSong_GB2312" w:cs="FangSong_GB2312"/>
          <w:sz w:val="32"/>
          <w:szCs w:val="32"/>
        </w:rPr>
        <w:t>明</w:t>
      </w:r>
    </w:p>
    <w:p>
      <w:pPr>
        <w:numPr>
          <w:ilvl w:val="0"/>
          <w:numId w:val="4"/>
        </w:numPr>
        <w:ind w:left="1277" w:leftChars="608"/>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资产评估机构关于备案材料和信息真实、准确、完整</w:t>
      </w:r>
    </w:p>
    <w:p>
      <w:pPr>
        <w:numPr>
          <w:ilvl w:val="0"/>
          <w:numId w:val="0"/>
        </w:numPr>
        <w:rPr>
          <w:rFonts w:ascii="FangSong_GB2312" w:hAnsi="FangSong_GB2312" w:eastAsia="FangSong_GB2312" w:cs="FangSong_GB2312"/>
          <w:sz w:val="32"/>
          <w:szCs w:val="32"/>
        </w:rPr>
      </w:pPr>
      <w:r>
        <w:rPr>
          <w:rFonts w:hint="eastAsia" w:ascii="FangSong_GB2312" w:hAnsi="FangSong_GB2312" w:eastAsia="FangSong_GB2312" w:cs="FangSong_GB2312"/>
          <w:sz w:val="32"/>
          <w:szCs w:val="32"/>
          <w:lang w:val="en-US" w:eastAsia="zh-CN"/>
        </w:rPr>
        <w:t xml:space="preserve">          </w:t>
      </w:r>
      <w:r>
        <w:rPr>
          <w:rFonts w:hint="eastAsia" w:ascii="FangSong_GB2312" w:hAnsi="FangSong_GB2312" w:eastAsia="FangSong_GB2312" w:cs="FangSong_GB2312"/>
          <w:sz w:val="32"/>
          <w:szCs w:val="32"/>
        </w:rPr>
        <w:t>的承诺</w:t>
      </w:r>
    </w:p>
    <w:p>
      <w:pPr>
        <w:numPr>
          <w:ilvl w:val="0"/>
          <w:numId w:val="4"/>
        </w:numPr>
        <w:ind w:left="1277" w:leftChars="608" w:firstLine="0" w:firstLineChars="0"/>
        <w:rPr>
          <w:rFonts w:hint="eastAsia" w:ascii="FangSong_GB2312" w:hAnsi="FangSong" w:eastAsia="FangSong_GB2312" w:cs="FangSong"/>
          <w:sz w:val="32"/>
          <w:szCs w:val="32"/>
        </w:rPr>
      </w:pPr>
      <w:r>
        <w:rPr>
          <w:rFonts w:ascii="FangSong_GB2312" w:hAnsi="FangSong_GB2312" w:eastAsia="FangSong_GB2312" w:cs="FangSong_GB2312"/>
          <w:sz w:val="32"/>
          <w:szCs w:val="32"/>
        </w:rPr>
        <w:t>关于资产评估机构及其执业人员在执业中不存在</w:t>
      </w:r>
      <w:r>
        <w:rPr>
          <w:rFonts w:hint="eastAsia" w:ascii="FangSong_GB2312" w:hAnsi="FangSong" w:eastAsia="FangSong_GB2312" w:cs="FangSong"/>
          <w:sz w:val="32"/>
          <w:szCs w:val="32"/>
        </w:rPr>
        <w:t>行贿、</w:t>
      </w:r>
    </w:p>
    <w:p>
      <w:pPr>
        <w:numPr>
          <w:ilvl w:val="0"/>
          <w:numId w:val="0"/>
        </w:numPr>
        <w:ind w:leftChars="608"/>
        <w:rPr>
          <w:rFonts w:ascii="FangSong_GB2312" w:hAnsi="FangSong_GB2312" w:eastAsia="FangSong_GB2312" w:cs="FangSong_GB2312"/>
          <w:sz w:val="32"/>
          <w:szCs w:val="32"/>
        </w:rPr>
      </w:pPr>
      <w:r>
        <w:rPr>
          <w:rFonts w:hint="eastAsia" w:ascii="FangSong_GB2312" w:hAnsi="FangSong" w:eastAsia="FangSong_GB2312" w:cs="FangSong"/>
          <w:sz w:val="32"/>
          <w:szCs w:val="32"/>
          <w:lang w:val="en-US" w:eastAsia="zh-CN"/>
        </w:rPr>
        <w:t xml:space="preserve">  </w:t>
      </w:r>
      <w:r>
        <w:rPr>
          <w:rFonts w:hint="eastAsia" w:ascii="FangSong_GB2312" w:hAnsi="FangSong" w:eastAsia="FangSong_GB2312" w:cs="FangSong"/>
          <w:sz w:val="32"/>
          <w:szCs w:val="32"/>
        </w:rPr>
        <w:t>受贿等</w:t>
      </w:r>
      <w:r>
        <w:rPr>
          <w:rFonts w:ascii="FangSong_GB2312" w:hAnsi="FangSong_GB2312" w:eastAsia="FangSong_GB2312" w:cs="FangSong_GB2312"/>
          <w:sz w:val="32"/>
          <w:szCs w:val="32"/>
        </w:rPr>
        <w:t>行为的承诺</w:t>
      </w:r>
    </w:p>
    <w:p>
      <w:pPr>
        <w:ind w:firstLine="1280" w:firstLineChars="4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9.资产评估机构从事证券服务业务年度备案表</w:t>
      </w:r>
    </w:p>
    <w:p>
      <w:pPr>
        <w:ind w:firstLine="640" w:firstLineChars="20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br w:type="page"/>
      </w:r>
    </w:p>
    <w:p>
      <w:pPr>
        <w:widowControl/>
        <w:jc w:val="left"/>
        <w:rPr>
          <w:rFonts w:ascii="FangSong_GB2312" w:hAnsi="FangSong_GB2312" w:eastAsia="FangSong_GB2312" w:cs="FangSong_GB2312"/>
          <w:bCs/>
          <w:sz w:val="32"/>
          <w:szCs w:val="32"/>
        </w:rPr>
      </w:pPr>
      <w:r>
        <w:rPr>
          <w:rFonts w:ascii="FangSong_GB2312" w:hAnsi="FangSong_GB2312" w:eastAsia="FangSong_GB2312" w:cs="FangSong_GB2312"/>
          <w:bCs/>
          <w:sz w:val="32"/>
          <w:szCs w:val="32"/>
        </w:rPr>
        <w:t> </w:t>
      </w:r>
      <w:r>
        <w:rPr>
          <w:rFonts w:hint="eastAsia" w:ascii="FangSong_GB2312" w:hAnsi="FangSong_GB2312" w:eastAsia="FangSong_GB2312" w:cs="FangSong_GB2312"/>
          <w:bCs/>
          <w:sz w:val="32"/>
          <w:szCs w:val="32"/>
        </w:rPr>
        <w:t>附1：</w:t>
      </w:r>
    </w:p>
    <w:p>
      <w:pPr>
        <w:jc w:val="cente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资产评估机构首次从事证券服务业务备案表</w:t>
      </w:r>
    </w:p>
    <w:p>
      <w:pPr>
        <w:jc w:val="left"/>
        <w:rPr>
          <w:rFonts w:ascii="FangSong_GB2312" w:hAnsi="FangSong_GB2312" w:eastAsia="FangSong_GB2312" w:cs="FangSong_GB2312"/>
          <w:sz w:val="24"/>
        </w:rPr>
      </w:pPr>
    </w:p>
    <w:p>
      <w:pPr>
        <w:jc w:val="left"/>
        <w:rPr>
          <w:rFonts w:ascii="FangSong_GB2312" w:hAnsi="FangSong_GB2312" w:eastAsia="FangSong_GB2312" w:cs="FangSong_GB2312"/>
          <w:b/>
          <w:sz w:val="24"/>
        </w:rPr>
      </w:pPr>
      <w:r>
        <w:rPr>
          <w:rFonts w:hint="eastAsia" w:ascii="FangSong_GB2312" w:hAnsi="FangSong_GB2312" w:eastAsia="FangSong_GB2312" w:cs="FangSong_GB2312"/>
          <w:sz w:val="24"/>
        </w:rPr>
        <w:t xml:space="preserve">资产评估机构名称：                             </w:t>
      </w:r>
      <w:r>
        <w:rPr>
          <w:rFonts w:hint="eastAsia" w:ascii="FangSong_GB2312" w:hAnsi="FangSong_GB2312" w:eastAsia="FangSong_GB2312" w:cs="FangSong_GB2312"/>
          <w:bCs/>
          <w:sz w:val="24"/>
        </w:rPr>
        <w:t>填报日期：     年   月   日</w:t>
      </w:r>
    </w:p>
    <w:tbl>
      <w:tblPr>
        <w:tblStyle w:val="11"/>
        <w:tblW w:w="85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760"/>
        <w:gridCol w:w="532"/>
        <w:gridCol w:w="767"/>
        <w:gridCol w:w="1025"/>
        <w:gridCol w:w="178"/>
        <w:gridCol w:w="1189"/>
        <w:gridCol w:w="866"/>
        <w:gridCol w:w="371"/>
        <w:gridCol w:w="957"/>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64" w:type="dxa"/>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成立</w:t>
            </w:r>
          </w:p>
          <w:p>
            <w:pPr>
              <w:rPr>
                <w:rFonts w:ascii="FangSong_GB2312" w:hAnsi="FangSong_GB2312" w:eastAsia="FangSong_GB2312" w:cs="FangSong_GB2312"/>
                <w:sz w:val="24"/>
              </w:rPr>
            </w:pPr>
            <w:r>
              <w:rPr>
                <w:rFonts w:hint="eastAsia" w:ascii="FangSong_GB2312" w:hAnsi="FangSong_GB2312" w:eastAsia="FangSong_GB2312" w:cs="FangSong_GB2312"/>
                <w:sz w:val="24"/>
              </w:rPr>
              <w:t>时间</w:t>
            </w:r>
          </w:p>
        </w:tc>
        <w:tc>
          <w:tcPr>
            <w:tcW w:w="760" w:type="dxa"/>
            <w:vAlign w:val="center"/>
          </w:tcPr>
          <w:p>
            <w:pPr>
              <w:rPr>
                <w:rFonts w:ascii="FangSong_GB2312" w:hAnsi="FangSong_GB2312" w:eastAsia="FangSong_GB2312" w:cs="FangSong_GB2312"/>
                <w:sz w:val="24"/>
              </w:rPr>
            </w:pPr>
          </w:p>
        </w:tc>
        <w:tc>
          <w:tcPr>
            <w:tcW w:w="1299"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设立备案机关</w:t>
            </w:r>
          </w:p>
        </w:tc>
        <w:tc>
          <w:tcPr>
            <w:tcW w:w="1203" w:type="dxa"/>
            <w:gridSpan w:val="2"/>
            <w:vAlign w:val="center"/>
          </w:tcPr>
          <w:p>
            <w:pPr>
              <w:rPr>
                <w:rFonts w:ascii="FangSong_GB2312" w:hAnsi="FangSong_GB2312" w:eastAsia="FangSong_GB2312" w:cs="FangSong_GB2312"/>
                <w:sz w:val="24"/>
              </w:rPr>
            </w:pPr>
          </w:p>
        </w:tc>
        <w:tc>
          <w:tcPr>
            <w:tcW w:w="1189" w:type="dxa"/>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公函日期</w:t>
            </w:r>
          </w:p>
        </w:tc>
        <w:tc>
          <w:tcPr>
            <w:tcW w:w="1237" w:type="dxa"/>
            <w:gridSpan w:val="2"/>
            <w:vAlign w:val="center"/>
          </w:tcPr>
          <w:p>
            <w:pPr>
              <w:rPr>
                <w:rFonts w:ascii="FangSong_GB2312" w:hAnsi="FangSong_GB2312" w:eastAsia="FangSong_GB2312" w:cs="FangSong_GB2312"/>
                <w:sz w:val="24"/>
              </w:rPr>
            </w:pPr>
          </w:p>
        </w:tc>
        <w:tc>
          <w:tcPr>
            <w:tcW w:w="957" w:type="dxa"/>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公函</w:t>
            </w:r>
          </w:p>
          <w:p>
            <w:pPr>
              <w:rPr>
                <w:rFonts w:ascii="FangSong_GB2312" w:hAnsi="FangSong_GB2312" w:eastAsia="FangSong_GB2312" w:cs="FangSong_GB2312"/>
                <w:sz w:val="24"/>
              </w:rPr>
            </w:pPr>
            <w:r>
              <w:rPr>
                <w:rFonts w:hint="eastAsia" w:ascii="FangSong_GB2312" w:hAnsi="FangSong_GB2312" w:eastAsia="FangSong_GB2312" w:cs="FangSong_GB2312"/>
                <w:sz w:val="24"/>
              </w:rPr>
              <w:t>编号</w:t>
            </w:r>
          </w:p>
        </w:tc>
        <w:tc>
          <w:tcPr>
            <w:tcW w:w="1086" w:type="dxa"/>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624"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注册资本（万元）</w:t>
            </w:r>
          </w:p>
        </w:tc>
        <w:tc>
          <w:tcPr>
            <w:tcW w:w="1299" w:type="dxa"/>
            <w:gridSpan w:val="2"/>
            <w:vAlign w:val="center"/>
          </w:tcPr>
          <w:p>
            <w:pPr>
              <w:rPr>
                <w:rFonts w:ascii="FangSong_GB2312" w:hAnsi="FangSong_GB2312" w:eastAsia="FangSong_GB2312" w:cs="FangSong_GB2312"/>
                <w:sz w:val="24"/>
              </w:rPr>
            </w:pPr>
          </w:p>
        </w:tc>
        <w:tc>
          <w:tcPr>
            <w:tcW w:w="1203"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法定代表人（执行合伙事务的合伙人）</w:t>
            </w:r>
          </w:p>
        </w:tc>
        <w:tc>
          <w:tcPr>
            <w:tcW w:w="1189" w:type="dxa"/>
            <w:vAlign w:val="center"/>
          </w:tcPr>
          <w:p>
            <w:pPr>
              <w:rPr>
                <w:rFonts w:ascii="FangSong_GB2312" w:hAnsi="FangSong_GB2312" w:eastAsia="FangSong_GB2312" w:cs="FangSong_GB2312"/>
                <w:sz w:val="24"/>
              </w:rPr>
            </w:pPr>
          </w:p>
        </w:tc>
        <w:tc>
          <w:tcPr>
            <w:tcW w:w="1237"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法定代表人（执行合伙事务的合伙人）电话</w:t>
            </w:r>
          </w:p>
        </w:tc>
        <w:tc>
          <w:tcPr>
            <w:tcW w:w="2043" w:type="dxa"/>
            <w:gridSpan w:val="2"/>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624"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是否存在实际控制人</w:t>
            </w:r>
          </w:p>
        </w:tc>
        <w:tc>
          <w:tcPr>
            <w:tcW w:w="1299" w:type="dxa"/>
            <w:gridSpan w:val="2"/>
            <w:vAlign w:val="center"/>
          </w:tcPr>
          <w:p>
            <w:pPr>
              <w:rPr>
                <w:rFonts w:ascii="FangSong_GB2312" w:hAnsi="FangSong_GB2312" w:eastAsia="FangSong_GB2312" w:cs="FangSong_GB2312"/>
                <w:sz w:val="24"/>
              </w:rPr>
            </w:pPr>
          </w:p>
        </w:tc>
        <w:tc>
          <w:tcPr>
            <w:tcW w:w="1203"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实际控制人名称</w:t>
            </w:r>
          </w:p>
        </w:tc>
        <w:tc>
          <w:tcPr>
            <w:tcW w:w="1189" w:type="dxa"/>
            <w:vAlign w:val="center"/>
          </w:tcPr>
          <w:p>
            <w:pPr>
              <w:rPr>
                <w:rFonts w:ascii="FangSong_GB2312" w:hAnsi="FangSong_GB2312" w:eastAsia="FangSong_GB2312" w:cs="FangSong_GB2312"/>
                <w:sz w:val="24"/>
              </w:rPr>
            </w:pPr>
          </w:p>
        </w:tc>
        <w:tc>
          <w:tcPr>
            <w:tcW w:w="1237"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实际控制人身份证号码或者统一社会信用代码</w:t>
            </w:r>
          </w:p>
        </w:tc>
        <w:tc>
          <w:tcPr>
            <w:tcW w:w="2043" w:type="dxa"/>
            <w:gridSpan w:val="2"/>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1624"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监管联系人</w:t>
            </w:r>
          </w:p>
        </w:tc>
        <w:tc>
          <w:tcPr>
            <w:tcW w:w="1299" w:type="dxa"/>
            <w:gridSpan w:val="2"/>
            <w:vAlign w:val="center"/>
          </w:tcPr>
          <w:p>
            <w:pPr>
              <w:rPr>
                <w:rFonts w:ascii="FangSong_GB2312" w:hAnsi="FangSong_GB2312" w:eastAsia="FangSong_GB2312" w:cs="FangSong_GB2312"/>
                <w:sz w:val="24"/>
              </w:rPr>
            </w:pPr>
          </w:p>
        </w:tc>
        <w:tc>
          <w:tcPr>
            <w:tcW w:w="1203"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监管联系人职务</w:t>
            </w:r>
          </w:p>
        </w:tc>
        <w:tc>
          <w:tcPr>
            <w:tcW w:w="1189" w:type="dxa"/>
            <w:vAlign w:val="center"/>
          </w:tcPr>
          <w:p>
            <w:pPr>
              <w:rPr>
                <w:rFonts w:ascii="FangSong_GB2312" w:hAnsi="FangSong_GB2312" w:eastAsia="FangSong_GB2312" w:cs="FangSong_GB2312"/>
                <w:sz w:val="24"/>
              </w:rPr>
            </w:pPr>
          </w:p>
        </w:tc>
        <w:tc>
          <w:tcPr>
            <w:tcW w:w="1237" w:type="dxa"/>
            <w:gridSpan w:val="2"/>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监管联系人电话</w:t>
            </w:r>
          </w:p>
        </w:tc>
        <w:tc>
          <w:tcPr>
            <w:tcW w:w="2043" w:type="dxa"/>
            <w:gridSpan w:val="2"/>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624"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监管联系人传真</w:t>
            </w:r>
          </w:p>
        </w:tc>
        <w:tc>
          <w:tcPr>
            <w:tcW w:w="1299" w:type="dxa"/>
            <w:gridSpan w:val="2"/>
            <w:tcBorders>
              <w:bottom w:val="nil"/>
            </w:tcBorders>
            <w:vAlign w:val="center"/>
          </w:tcPr>
          <w:p>
            <w:pPr>
              <w:rPr>
                <w:rFonts w:ascii="FangSong_GB2312" w:hAnsi="FangSong_GB2312" w:eastAsia="FangSong_GB2312" w:cs="FangSong_GB2312"/>
                <w:sz w:val="24"/>
              </w:rPr>
            </w:pPr>
          </w:p>
        </w:tc>
        <w:tc>
          <w:tcPr>
            <w:tcW w:w="1203"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监管联系人电子邮箱</w:t>
            </w:r>
          </w:p>
        </w:tc>
        <w:tc>
          <w:tcPr>
            <w:tcW w:w="1189" w:type="dxa"/>
            <w:tcBorders>
              <w:bottom w:val="nil"/>
            </w:tcBorders>
            <w:vAlign w:val="center"/>
          </w:tcPr>
          <w:p>
            <w:pPr>
              <w:rPr>
                <w:rFonts w:ascii="FangSong_GB2312" w:hAnsi="FangSong_GB2312" w:eastAsia="FangSong_GB2312" w:cs="FangSong_GB2312"/>
                <w:sz w:val="24"/>
              </w:rPr>
            </w:pPr>
          </w:p>
        </w:tc>
        <w:tc>
          <w:tcPr>
            <w:tcW w:w="1237"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负责执业质量控制的股东（合伙人）</w:t>
            </w:r>
          </w:p>
        </w:tc>
        <w:tc>
          <w:tcPr>
            <w:tcW w:w="2043" w:type="dxa"/>
            <w:gridSpan w:val="2"/>
            <w:tcBorders>
              <w:bottom w:val="nil"/>
            </w:tcBorders>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1624"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通 讯 地 址</w:t>
            </w:r>
          </w:p>
        </w:tc>
        <w:tc>
          <w:tcPr>
            <w:tcW w:w="3691" w:type="dxa"/>
            <w:gridSpan w:val="5"/>
            <w:tcBorders>
              <w:bottom w:val="nil"/>
            </w:tcBorders>
            <w:vAlign w:val="center"/>
          </w:tcPr>
          <w:p>
            <w:pPr>
              <w:rPr>
                <w:rFonts w:ascii="FangSong_GB2312" w:hAnsi="FangSong_GB2312" w:eastAsia="FangSong_GB2312" w:cs="FangSong_GB2312"/>
                <w:sz w:val="24"/>
              </w:rPr>
            </w:pPr>
          </w:p>
        </w:tc>
        <w:tc>
          <w:tcPr>
            <w:tcW w:w="1237"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邮政编码</w:t>
            </w:r>
          </w:p>
        </w:tc>
        <w:tc>
          <w:tcPr>
            <w:tcW w:w="2043" w:type="dxa"/>
            <w:gridSpan w:val="2"/>
            <w:tcBorders>
              <w:bottom w:val="nil"/>
            </w:tcBorders>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24"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统一社会信用代码</w:t>
            </w:r>
          </w:p>
        </w:tc>
        <w:tc>
          <w:tcPr>
            <w:tcW w:w="2324" w:type="dxa"/>
            <w:gridSpan w:val="3"/>
            <w:tcBorders>
              <w:bottom w:val="nil"/>
            </w:tcBorders>
            <w:vAlign w:val="center"/>
          </w:tcPr>
          <w:p>
            <w:pPr>
              <w:ind w:left="720" w:hanging="720" w:hangingChars="300"/>
              <w:rPr>
                <w:rFonts w:ascii="FangSong_GB2312" w:hAnsi="FangSong_GB2312" w:eastAsia="FangSong_GB2312" w:cs="FangSong_GB2312"/>
                <w:sz w:val="24"/>
              </w:rPr>
            </w:pPr>
          </w:p>
        </w:tc>
        <w:tc>
          <w:tcPr>
            <w:tcW w:w="1367" w:type="dxa"/>
            <w:gridSpan w:val="2"/>
            <w:tcBorders>
              <w:bottom w:val="nil"/>
            </w:tcBorders>
            <w:vAlign w:val="center"/>
          </w:tcPr>
          <w:p>
            <w:pPr>
              <w:ind w:left="720" w:hanging="720" w:hangingChars="300"/>
              <w:rPr>
                <w:rFonts w:ascii="FangSong_GB2312" w:hAnsi="FangSong_GB2312" w:eastAsia="FangSong_GB2312" w:cs="FangSong_GB2312"/>
                <w:sz w:val="24"/>
              </w:rPr>
            </w:pPr>
            <w:r>
              <w:rPr>
                <w:rFonts w:hint="eastAsia" w:ascii="FangSong_GB2312" w:hAnsi="FangSong_GB2312" w:eastAsia="FangSong_GB2312" w:cs="FangSong_GB2312"/>
                <w:sz w:val="24"/>
              </w:rPr>
              <w:t>注册地</w:t>
            </w:r>
          </w:p>
        </w:tc>
        <w:tc>
          <w:tcPr>
            <w:tcW w:w="3280" w:type="dxa"/>
            <w:gridSpan w:val="4"/>
            <w:tcBorders>
              <w:bottom w:val="nil"/>
            </w:tcBorders>
            <w:vAlign w:val="center"/>
          </w:tcPr>
          <w:p>
            <w:pPr>
              <w:ind w:left="720" w:hanging="720" w:hangingChars="300"/>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24" w:type="dxa"/>
            <w:gridSpan w:val="2"/>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资产评估机构员工总数</w:t>
            </w:r>
          </w:p>
        </w:tc>
        <w:tc>
          <w:tcPr>
            <w:tcW w:w="1299" w:type="dxa"/>
            <w:gridSpan w:val="2"/>
            <w:tcBorders>
              <w:bottom w:val="nil"/>
            </w:tcBorders>
            <w:vAlign w:val="center"/>
          </w:tcPr>
          <w:p>
            <w:pPr>
              <w:rPr>
                <w:rFonts w:ascii="FangSong_GB2312" w:hAnsi="FangSong_GB2312" w:eastAsia="FangSong_GB2312" w:cs="FangSong_GB2312"/>
                <w:sz w:val="24"/>
              </w:rPr>
            </w:pPr>
          </w:p>
        </w:tc>
        <w:tc>
          <w:tcPr>
            <w:tcW w:w="2392" w:type="dxa"/>
            <w:gridSpan w:val="3"/>
            <w:tcBorders>
              <w:bottom w:val="nil"/>
            </w:tcBorders>
            <w:vAlign w:val="center"/>
          </w:tcPr>
          <w:p>
            <w:pPr>
              <w:ind w:left="720" w:hanging="720" w:hangingChars="300"/>
              <w:jc w:val="left"/>
              <w:rPr>
                <w:rFonts w:ascii="FangSong_GB2312" w:hAnsi="FangSong_GB2312" w:eastAsia="FangSong_GB2312" w:cs="FangSong_GB2312"/>
                <w:sz w:val="24"/>
              </w:rPr>
            </w:pPr>
            <w:r>
              <w:rPr>
                <w:rFonts w:hint="eastAsia" w:ascii="FangSong_GB2312" w:hAnsi="FangSong_GB2312" w:eastAsia="FangSong_GB2312" w:cs="FangSong_GB2312"/>
                <w:sz w:val="24"/>
              </w:rPr>
              <w:t>资产评估师总数</w:t>
            </w:r>
          </w:p>
        </w:tc>
        <w:tc>
          <w:tcPr>
            <w:tcW w:w="3280" w:type="dxa"/>
            <w:gridSpan w:val="4"/>
            <w:tcBorders>
              <w:bottom w:val="nil"/>
            </w:tcBorders>
            <w:vAlign w:val="center"/>
          </w:tcPr>
          <w:p>
            <w:pPr>
              <w:ind w:left="720" w:hanging="720" w:hangingChars="300"/>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2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上一年度</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资产评估</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业务收入</w:t>
            </w:r>
          </w:p>
        </w:tc>
        <w:tc>
          <w:tcPr>
            <w:tcW w:w="2502"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 xml:space="preserve">           万元</w:t>
            </w:r>
          </w:p>
        </w:tc>
        <w:tc>
          <w:tcPr>
            <w:tcW w:w="2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上年末净资产</w:t>
            </w:r>
          </w:p>
        </w:tc>
        <w:tc>
          <w:tcPr>
            <w:tcW w:w="241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2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累计职业</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风险基金</w:t>
            </w:r>
          </w:p>
        </w:tc>
        <w:tc>
          <w:tcPr>
            <w:tcW w:w="2502"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 xml:space="preserve">           万元</w:t>
            </w:r>
          </w:p>
        </w:tc>
        <w:tc>
          <w:tcPr>
            <w:tcW w:w="2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保险合同有效期内职业保险累计赔偿限额</w:t>
            </w:r>
          </w:p>
        </w:tc>
        <w:tc>
          <w:tcPr>
            <w:tcW w:w="2414"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2923" w:type="dxa"/>
            <w:gridSpan w:val="4"/>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首单证券服务业务项目名称（合同编号）（如适用）</w:t>
            </w:r>
          </w:p>
        </w:tc>
        <w:tc>
          <w:tcPr>
            <w:tcW w:w="5672" w:type="dxa"/>
            <w:gridSpan w:val="7"/>
            <w:tcBorders>
              <w:bottom w:val="nil"/>
            </w:tcBorders>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2923" w:type="dxa"/>
            <w:gridSpan w:val="4"/>
            <w:tcBorders>
              <w:bottom w:val="nil"/>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首单证券服务业务合同收费（如适用）</w:t>
            </w:r>
          </w:p>
        </w:tc>
        <w:tc>
          <w:tcPr>
            <w:tcW w:w="5672" w:type="dxa"/>
            <w:gridSpan w:val="7"/>
            <w:tcBorders>
              <w:bottom w:val="nil"/>
            </w:tcBorders>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64" w:type="dxa"/>
            <w:tcBorders>
              <w:top w:val="single" w:color="auto" w:sz="4" w:space="0"/>
              <w:left w:val="single" w:color="auto" w:sz="4" w:space="0"/>
              <w:bottom w:val="single" w:color="auto" w:sz="4" w:space="0"/>
              <w:right w:val="single" w:color="auto" w:sz="4" w:space="0"/>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分支机构名称</w:t>
            </w: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注册地</w:t>
            </w:r>
          </w:p>
        </w:tc>
        <w:tc>
          <w:tcPr>
            <w:tcW w:w="532"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负责人</w:t>
            </w:r>
          </w:p>
        </w:tc>
        <w:tc>
          <w:tcPr>
            <w:tcW w:w="767"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监管联系人</w:t>
            </w:r>
          </w:p>
        </w:tc>
        <w:tc>
          <w:tcPr>
            <w:tcW w:w="120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监管联系人电话</w:t>
            </w:r>
          </w:p>
        </w:tc>
        <w:tc>
          <w:tcPr>
            <w:tcW w:w="4469"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资产评估师总数</w:t>
            </w:r>
          </w:p>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864" w:type="dxa"/>
          </w:tcPr>
          <w:p>
            <w:pPr>
              <w:jc w:val="center"/>
              <w:rPr>
                <w:rFonts w:ascii="FangSong_GB2312" w:hAnsi="FangSong_GB2312" w:eastAsia="FangSong_GB2312" w:cs="FangSong_GB2312"/>
                <w:sz w:val="24"/>
              </w:rPr>
            </w:pPr>
          </w:p>
        </w:tc>
        <w:tc>
          <w:tcPr>
            <w:tcW w:w="760" w:type="dxa"/>
          </w:tcPr>
          <w:p>
            <w:pPr>
              <w:jc w:val="center"/>
              <w:rPr>
                <w:rFonts w:ascii="FangSong_GB2312" w:hAnsi="FangSong_GB2312" w:eastAsia="FangSong_GB2312" w:cs="FangSong_GB2312"/>
                <w:sz w:val="24"/>
              </w:rPr>
            </w:pPr>
          </w:p>
        </w:tc>
        <w:tc>
          <w:tcPr>
            <w:tcW w:w="532" w:type="dxa"/>
          </w:tcPr>
          <w:p>
            <w:pPr>
              <w:jc w:val="center"/>
              <w:rPr>
                <w:rFonts w:ascii="FangSong_GB2312" w:hAnsi="FangSong_GB2312" w:eastAsia="FangSong_GB2312" w:cs="FangSong_GB2312"/>
                <w:sz w:val="24"/>
              </w:rPr>
            </w:pPr>
          </w:p>
        </w:tc>
        <w:tc>
          <w:tcPr>
            <w:tcW w:w="767" w:type="dxa"/>
          </w:tcPr>
          <w:p>
            <w:pPr>
              <w:jc w:val="center"/>
              <w:rPr>
                <w:rFonts w:ascii="FangSong_GB2312" w:hAnsi="FangSong_GB2312" w:eastAsia="FangSong_GB2312" w:cs="FangSong_GB2312"/>
                <w:sz w:val="24"/>
              </w:rPr>
            </w:pPr>
          </w:p>
        </w:tc>
        <w:tc>
          <w:tcPr>
            <w:tcW w:w="1203" w:type="dxa"/>
            <w:gridSpan w:val="2"/>
          </w:tcPr>
          <w:p>
            <w:pPr>
              <w:ind w:firstLine="240" w:firstLineChars="100"/>
              <w:rPr>
                <w:rFonts w:ascii="FangSong_GB2312" w:hAnsi="FangSong_GB2312" w:eastAsia="FangSong_GB2312" w:cs="FangSong_GB2312"/>
                <w:sz w:val="24"/>
              </w:rPr>
            </w:pPr>
          </w:p>
        </w:tc>
        <w:tc>
          <w:tcPr>
            <w:tcW w:w="4469" w:type="dxa"/>
            <w:gridSpan w:val="5"/>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864" w:type="dxa"/>
          </w:tcPr>
          <w:p>
            <w:pPr>
              <w:jc w:val="center"/>
              <w:rPr>
                <w:rFonts w:ascii="FangSong_GB2312" w:hAnsi="FangSong_GB2312" w:eastAsia="FangSong_GB2312" w:cs="FangSong_GB2312"/>
                <w:sz w:val="24"/>
              </w:rPr>
            </w:pPr>
          </w:p>
        </w:tc>
        <w:tc>
          <w:tcPr>
            <w:tcW w:w="760" w:type="dxa"/>
          </w:tcPr>
          <w:p>
            <w:pPr>
              <w:jc w:val="center"/>
              <w:rPr>
                <w:rFonts w:ascii="FangSong_GB2312" w:hAnsi="FangSong_GB2312" w:eastAsia="FangSong_GB2312" w:cs="FangSong_GB2312"/>
                <w:sz w:val="24"/>
              </w:rPr>
            </w:pPr>
          </w:p>
        </w:tc>
        <w:tc>
          <w:tcPr>
            <w:tcW w:w="532" w:type="dxa"/>
          </w:tcPr>
          <w:p>
            <w:pPr>
              <w:jc w:val="center"/>
              <w:rPr>
                <w:rFonts w:ascii="FangSong_GB2312" w:hAnsi="FangSong_GB2312" w:eastAsia="FangSong_GB2312" w:cs="FangSong_GB2312"/>
                <w:sz w:val="24"/>
              </w:rPr>
            </w:pPr>
          </w:p>
        </w:tc>
        <w:tc>
          <w:tcPr>
            <w:tcW w:w="767" w:type="dxa"/>
          </w:tcPr>
          <w:p>
            <w:pPr>
              <w:jc w:val="center"/>
              <w:rPr>
                <w:rFonts w:ascii="FangSong_GB2312" w:hAnsi="FangSong_GB2312" w:eastAsia="FangSong_GB2312" w:cs="FangSong_GB2312"/>
                <w:sz w:val="24"/>
              </w:rPr>
            </w:pPr>
          </w:p>
        </w:tc>
        <w:tc>
          <w:tcPr>
            <w:tcW w:w="1203" w:type="dxa"/>
            <w:gridSpan w:val="2"/>
          </w:tcPr>
          <w:p>
            <w:pPr>
              <w:ind w:firstLine="240" w:firstLineChars="100"/>
              <w:rPr>
                <w:rFonts w:ascii="FangSong_GB2312" w:hAnsi="FangSong_GB2312" w:eastAsia="FangSong_GB2312" w:cs="FangSong_GB2312"/>
                <w:sz w:val="24"/>
              </w:rPr>
            </w:pPr>
          </w:p>
        </w:tc>
        <w:tc>
          <w:tcPr>
            <w:tcW w:w="4469" w:type="dxa"/>
            <w:gridSpan w:val="5"/>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4126" w:type="dxa"/>
            <w:gridSpan w:val="6"/>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合计</w:t>
            </w:r>
          </w:p>
        </w:tc>
        <w:tc>
          <w:tcPr>
            <w:tcW w:w="4469" w:type="dxa"/>
            <w:gridSpan w:val="5"/>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8" w:hRule="atLeast"/>
          <w:jc w:val="center"/>
        </w:trPr>
        <w:tc>
          <w:tcPr>
            <w:tcW w:w="8595" w:type="dxa"/>
            <w:gridSpan w:val="11"/>
          </w:tcPr>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本资产评估机构承诺提交的备案材料真实、准确、完整，不存在虚假记载、误导性陈述或者重大遗漏。</w:t>
            </w:r>
          </w:p>
          <w:p>
            <w:pPr>
              <w:rPr>
                <w:rFonts w:ascii="FangSong_GB2312" w:hAnsi="FangSong_GB2312" w:eastAsia="FangSong_GB2312" w:cs="FangSong_GB2312"/>
                <w:sz w:val="24"/>
              </w:rPr>
            </w:pPr>
          </w:p>
          <w:p>
            <w:pPr>
              <w:rPr>
                <w:rFonts w:ascii="FangSong_GB2312" w:hAnsi="FangSong_GB2312" w:eastAsia="FangSong_GB2312" w:cs="FangSong_GB2312"/>
                <w:sz w:val="24"/>
              </w:rPr>
            </w:pPr>
          </w:p>
          <w:p>
            <w:pPr>
              <w:rPr>
                <w:rFonts w:ascii="FangSong_GB2312" w:hAnsi="FangSong_GB2312" w:eastAsia="FangSong_GB2312" w:cs="FangSong_GB2312"/>
                <w:sz w:val="24"/>
              </w:rPr>
            </w:pPr>
          </w:p>
          <w:p>
            <w:pPr>
              <w:rPr>
                <w:rFonts w:ascii="FangSong_GB2312" w:hAnsi="FangSong_GB2312" w:eastAsia="FangSong_GB2312" w:cs="FangSong_GB2312"/>
                <w:sz w:val="24"/>
              </w:rPr>
            </w:pPr>
            <w:r>
              <w:rPr>
                <w:rFonts w:hint="eastAsia" w:ascii="FangSong_GB2312" w:hAnsi="FangSong_GB2312" w:eastAsia="FangSong_GB2312" w:cs="FangSong_GB2312"/>
                <w:sz w:val="24"/>
              </w:rPr>
              <w:t xml:space="preserve">法定代表人（执行合伙事务的合伙人） </w:t>
            </w:r>
            <w:r>
              <w:rPr>
                <w:rFonts w:ascii="FangSong_GB2312" w:hAnsi="FangSong_GB2312" w:eastAsia="FangSong_GB2312" w:cs="FangSong_GB2312"/>
                <w:sz w:val="24"/>
              </w:rPr>
              <w:t xml:space="preserve">              </w:t>
            </w:r>
            <w:r>
              <w:rPr>
                <w:rFonts w:hint="eastAsia" w:ascii="FangSong_GB2312" w:hAnsi="FangSong_GB2312" w:eastAsia="FangSong_GB2312" w:cs="FangSong_GB2312"/>
                <w:sz w:val="24"/>
              </w:rPr>
              <w:t>资产评估机构</w:t>
            </w:r>
          </w:p>
          <w:p>
            <w:pPr>
              <w:ind w:firstLine="240" w:firstLineChars="100"/>
              <w:rPr>
                <w:rFonts w:ascii="FangSong_GB2312" w:hAnsi="FangSong_GB2312" w:eastAsia="FangSong_GB2312" w:cs="FangSong_GB2312"/>
                <w:sz w:val="24"/>
              </w:rPr>
            </w:pPr>
            <w:r>
              <w:rPr>
                <w:rFonts w:hint="eastAsia" w:ascii="FangSong_GB2312" w:hAnsi="FangSong_GB2312" w:eastAsia="FangSong_GB2312" w:cs="FangSong_GB2312"/>
                <w:sz w:val="24"/>
              </w:rPr>
              <w:t xml:space="preserve">（签章）  </w:t>
            </w:r>
            <w:r>
              <w:rPr>
                <w:rFonts w:ascii="FangSong_GB2312" w:hAnsi="FangSong_GB2312" w:eastAsia="FangSong_GB2312" w:cs="FangSong_GB2312"/>
                <w:sz w:val="24"/>
              </w:rPr>
              <w:t xml:space="preserve">                                       </w:t>
            </w:r>
            <w:r>
              <w:rPr>
                <w:rFonts w:hint="eastAsia" w:ascii="FangSong_GB2312" w:hAnsi="FangSong_GB2312" w:eastAsia="FangSong_GB2312" w:cs="FangSong_GB2312"/>
                <w:sz w:val="24"/>
              </w:rPr>
              <w:t>（盖章）</w:t>
            </w:r>
          </w:p>
          <w:p>
            <w:pPr>
              <w:rPr>
                <w:rFonts w:ascii="FangSong_GB2312" w:hAnsi="FangSong_GB2312" w:eastAsia="FangSong_GB2312" w:cs="FangSong_GB2312"/>
                <w:sz w:val="24"/>
              </w:rPr>
            </w:pPr>
          </w:p>
          <w:p>
            <w:pPr>
              <w:ind w:firstLine="6000" w:firstLineChars="2500"/>
              <w:rPr>
                <w:rFonts w:ascii="FangSong_GB2312" w:hAnsi="FangSong_GB2312" w:eastAsia="FangSong_GB2312" w:cs="FangSong_GB2312"/>
                <w:sz w:val="24"/>
              </w:rPr>
            </w:pPr>
            <w:r>
              <w:rPr>
                <w:rFonts w:hint="eastAsia" w:ascii="FangSong_GB2312" w:hAnsi="FangSong_GB2312" w:eastAsia="FangSong_GB2312" w:cs="FangSong_GB2312"/>
                <w:sz w:val="24"/>
              </w:rPr>
              <w:t>年   月   日</w:t>
            </w:r>
          </w:p>
        </w:tc>
      </w:tr>
    </w:tbl>
    <w:p>
      <w:pPr>
        <w:rPr>
          <w:rFonts w:ascii="FangSong_GB2312" w:hAnsi="FangSong_GB2312" w:eastAsia="FangSong_GB2312" w:cs="FangSong_GB2312"/>
          <w:bCs/>
          <w:sz w:val="24"/>
        </w:rPr>
      </w:pPr>
      <w:r>
        <w:rPr>
          <w:rFonts w:hint="eastAsia" w:ascii="FangSong_GB2312" w:hAnsi="FangSong_GB2312" w:eastAsia="FangSong_GB2312" w:cs="FangSong_GB2312"/>
          <w:bCs/>
          <w:sz w:val="24"/>
        </w:rPr>
        <w:t>注：1.设立备案机关指资产评估机构设立时备案的有关评估行政管理部门。</w:t>
      </w:r>
    </w:p>
    <w:p>
      <w:pPr>
        <w:ind w:firstLine="480" w:firstLineChars="200"/>
        <w:rPr>
          <w:rFonts w:ascii="FangSong_GB2312" w:hAnsi="FangSong_GB2312" w:eastAsia="FangSong_GB2312" w:cs="FangSong_GB2312"/>
          <w:bCs/>
          <w:sz w:val="24"/>
        </w:rPr>
      </w:pPr>
      <w:r>
        <w:rPr>
          <w:rFonts w:hint="eastAsia" w:ascii="FangSong_GB2312" w:hAnsi="FangSong_GB2312" w:eastAsia="FangSong_GB2312" w:cs="FangSong_GB2312"/>
          <w:bCs/>
          <w:sz w:val="24"/>
        </w:rPr>
        <w:t>2.实际控制人是指通过投资关系、协议或者其他安排，能够实际支配资产评估机构行为的自然人、法人或者其他组织。</w:t>
      </w:r>
    </w:p>
    <w:p>
      <w:pPr>
        <w:ind w:firstLine="480" w:firstLineChars="200"/>
        <w:rPr>
          <w:rFonts w:ascii="FangSong_GB2312" w:hAnsi="FangSong_GB2312" w:eastAsia="FangSong_GB2312" w:cs="FangSong_GB2312"/>
          <w:bCs/>
          <w:sz w:val="24"/>
        </w:rPr>
      </w:pPr>
      <w:r>
        <w:rPr>
          <w:rFonts w:hint="eastAsia" w:ascii="FangSong_GB2312" w:hAnsi="FangSong_GB2312" w:eastAsia="FangSong_GB2312" w:cs="FangSong_GB2312"/>
          <w:bCs/>
          <w:sz w:val="24"/>
        </w:rPr>
        <w:t>3.资产评估机构员工总数、资产评估师总数、上一年度资产评估业务收入、上年末净资产、累计职业风险基金、保险合同有效期内职业保险累计赔偿限额均包含分公司但不包含子公司。</w:t>
      </w:r>
    </w:p>
    <w:p>
      <w:pPr>
        <w:ind w:firstLine="480" w:firstLineChars="200"/>
        <w:rPr>
          <w:rFonts w:ascii="FangSong_GB2312" w:hAnsi="FangSong_GB2312" w:eastAsia="FangSong_GB2312" w:cs="FangSong_GB2312"/>
          <w:bCs/>
          <w:sz w:val="24"/>
        </w:rPr>
      </w:pPr>
      <w:r>
        <w:rPr>
          <w:rFonts w:hint="eastAsia" w:ascii="FangSong_GB2312" w:hAnsi="FangSong_GB2312" w:eastAsia="FangSong_GB2312" w:cs="FangSong_GB2312"/>
          <w:bCs/>
          <w:sz w:val="24"/>
        </w:rPr>
        <w:t>4.注册地填写到地级市。</w:t>
      </w:r>
    </w:p>
    <w:p>
      <w:pPr>
        <w:ind w:firstLine="481"/>
        <w:rPr>
          <w:rFonts w:ascii="FangSong_GB2312" w:hAnsi="FangSong_GB2312" w:eastAsia="FangSong_GB2312" w:cs="FangSong_GB2312"/>
          <w:bCs/>
          <w:sz w:val="24"/>
        </w:rPr>
      </w:pPr>
      <w:r>
        <w:rPr>
          <w:rFonts w:hint="eastAsia" w:ascii="FangSong_GB2312" w:hAnsi="FangSong_GB2312" w:eastAsia="FangSong_GB2312" w:cs="FangSong_GB2312"/>
          <w:bCs/>
          <w:sz w:val="24"/>
        </w:rPr>
        <w:t>5.电话应当包含固定电话和手机号码。</w:t>
      </w:r>
    </w:p>
    <w:p>
      <w:pPr>
        <w:ind w:firstLine="481"/>
        <w:rPr>
          <w:rFonts w:ascii="FangSong_GB2312" w:hAnsi="FangSong_GB2312" w:eastAsia="FangSong_GB2312" w:cs="FangSong_GB2312"/>
          <w:bCs/>
          <w:sz w:val="24"/>
        </w:rPr>
      </w:pPr>
      <w:r>
        <w:rPr>
          <w:rFonts w:hint="eastAsia" w:ascii="FangSong_GB2312" w:hAnsi="FangSong_GB2312" w:eastAsia="FangSong_GB2312" w:cs="FangSong_GB2312"/>
          <w:bCs/>
          <w:sz w:val="24"/>
        </w:rPr>
        <w:t>6.上一年度资产评估业务收入不含增值税。</w:t>
      </w:r>
    </w:p>
    <w:p>
      <w:pPr>
        <w:ind w:firstLine="481"/>
        <w:rPr>
          <w:rFonts w:ascii="FangSong_GB2312" w:hAnsi="FangSong_GB2312" w:eastAsia="FangSong_GB2312" w:cs="FangSong_GB2312"/>
          <w:bCs/>
          <w:sz w:val="24"/>
        </w:rPr>
      </w:pPr>
      <w:r>
        <w:rPr>
          <w:rFonts w:hint="eastAsia" w:ascii="FangSong_GB2312" w:hAnsi="FangSong_GB2312" w:eastAsia="FangSong_GB2312" w:cs="FangSong_GB2312"/>
          <w:bCs/>
          <w:sz w:val="24"/>
        </w:rPr>
        <w:t>7.资产评估机构报送首次备案材料时，如已订立委托合同或者实际从事证券服务业务的，还应当填写首单证券服务业务有关信息。</w:t>
      </w:r>
    </w:p>
    <w:p>
      <w:pPr>
        <w:ind w:firstLine="481"/>
        <w:rPr>
          <w:rFonts w:ascii="FangSong_GB2312" w:hAnsi="FangSong_GB2312" w:eastAsia="FangSong_GB2312" w:cs="FangSong_GB2312"/>
          <w:bCs/>
          <w:sz w:val="24"/>
        </w:rPr>
      </w:pPr>
      <w:r>
        <w:rPr>
          <w:rFonts w:hint="eastAsia" w:ascii="FangSong_GB2312" w:hAnsi="FangSong_GB2312" w:eastAsia="FangSong_GB2312" w:cs="FangSong_GB2312"/>
          <w:bCs/>
          <w:sz w:val="24"/>
        </w:rPr>
        <w:t>8.分支机构包括分公司、子公司等。</w:t>
      </w:r>
    </w:p>
    <w:p>
      <w:pPr>
        <w:ind w:firstLine="481"/>
        <w:rPr>
          <w:rFonts w:ascii="FangSong_GB2312" w:hAnsi="FangSong_GB2312" w:eastAsia="FangSong_GB2312" w:cs="FangSong_GB2312"/>
          <w:sz w:val="32"/>
          <w:szCs w:val="32"/>
        </w:rPr>
      </w:pPr>
      <w:r>
        <w:rPr>
          <w:rFonts w:hint="eastAsia" w:ascii="FangSong_GB2312" w:hAnsi="FangSong_GB2312" w:eastAsia="FangSong_GB2312" w:cs="FangSong_GB2312"/>
          <w:bCs/>
          <w:sz w:val="24"/>
        </w:rPr>
        <w:t>9.如无特别说明，本附表中，人数、金额按</w:t>
      </w:r>
      <w:r>
        <w:rPr>
          <w:rFonts w:hint="eastAsia" w:ascii="FangSong_GB2312" w:hAnsi="FangSong_GB2312" w:eastAsia="FangSong_GB2312" w:cs="FangSong_GB2312"/>
          <w:sz w:val="24"/>
        </w:rPr>
        <w:t>截至备案上月末数字填列。</w:t>
      </w:r>
      <w:r>
        <w:rPr>
          <w:rFonts w:ascii="FangSong_GB2312" w:hAnsi="FangSong_GB2312" w:eastAsia="FangSong_GB2312" w:cs="FangSong_GB2312"/>
          <w:sz w:val="32"/>
          <w:szCs w:val="32"/>
        </w:rPr>
        <w:br w:type="page"/>
      </w:r>
    </w:p>
    <w:p>
      <w:pPr>
        <w:widowControl/>
        <w:ind w:firstLine="64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附2：</w:t>
      </w:r>
    </w:p>
    <w:p>
      <w:pPr>
        <w:ind w:firstLine="643"/>
        <w:jc w:val="cente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资产评估机构内部管理制度及执行情况说明</w:t>
      </w:r>
    </w:p>
    <w:p>
      <w:pPr>
        <w:widowControl/>
        <w:ind w:firstLine="64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（包括但不限于人员管理、财务管理、业务管理、技术标准和信息化建设等内部管理制度）</w:t>
      </w:r>
    </w:p>
    <w:p>
      <w:pPr>
        <w:widowControl/>
        <w:ind w:firstLine="640" w:firstLineChars="20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一、目录</w:t>
      </w:r>
    </w:p>
    <w:p>
      <w:pPr>
        <w:widowControl/>
        <w:ind w:firstLine="640" w:firstLineChars="20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二、各项内部管理制度正文</w:t>
      </w:r>
    </w:p>
    <w:p>
      <w:pPr>
        <w:widowControl/>
        <w:ind w:firstLine="640" w:firstLineChars="20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三、执行情况的具体说明</w:t>
      </w: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spacing w:line="360" w:lineRule="auto"/>
        <w:rPr>
          <w:rFonts w:ascii="FangSong_GB2312" w:hAnsi="FangSong_GB2312" w:eastAsia="FangSong_GB2312" w:cs="FangSong_GB2312"/>
          <w:sz w:val="32"/>
          <w:szCs w:val="32"/>
        </w:rPr>
      </w:pPr>
    </w:p>
    <w:p>
      <w:pPr>
        <w:widowControl/>
        <w:ind w:firstLine="640" w:firstLineChars="200"/>
        <w:jc w:val="righ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法定代表人（执行合伙事务的合伙人）     资产评估机构</w:t>
      </w:r>
    </w:p>
    <w:p>
      <w:pPr>
        <w:widowControl/>
        <w:ind w:firstLine="640" w:firstLineChars="200"/>
        <w:jc w:val="center"/>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 xml:space="preserve">                    （签章）       （盖章）</w:t>
      </w:r>
    </w:p>
    <w:p>
      <w:pPr>
        <w:widowControl/>
        <w:ind w:firstLine="640" w:firstLineChars="200"/>
        <w:jc w:val="right"/>
        <w:rPr>
          <w:rFonts w:ascii="FangSong_GB2312" w:hAnsi="FangSong_GB2312" w:eastAsia="FangSong_GB2312" w:cs="FangSong_GB2312"/>
          <w:sz w:val="32"/>
          <w:szCs w:val="32"/>
        </w:rPr>
      </w:pPr>
    </w:p>
    <w:p>
      <w:pPr>
        <w:widowControl/>
        <w:ind w:firstLine="640" w:firstLineChars="200"/>
        <w:jc w:val="right"/>
        <w:rPr>
          <w:rFonts w:ascii="FangSong_GB2312" w:hAnsi="FangSong_GB2312" w:eastAsia="FangSong_GB2312" w:cs="FangSong_GB2312"/>
          <w:sz w:val="32"/>
          <w:szCs w:val="32"/>
        </w:rPr>
        <w:sectPr>
          <w:footerReference r:id="rId3" w:type="default"/>
          <w:pgSz w:w="11906" w:h="16838"/>
          <w:pgMar w:top="1440" w:right="1417" w:bottom="1440" w:left="1417" w:header="851" w:footer="992" w:gutter="0"/>
          <w:cols w:space="0" w:num="1"/>
          <w:docGrid w:type="lines" w:linePitch="319" w:charSpace="0"/>
        </w:sectPr>
      </w:pPr>
      <w:r>
        <w:rPr>
          <w:rFonts w:hint="eastAsia" w:ascii="FangSong_GB2312" w:hAnsi="FangSong_GB2312" w:eastAsia="FangSong_GB2312" w:cs="FangSong_GB2312"/>
          <w:sz w:val="32"/>
          <w:szCs w:val="32"/>
        </w:rPr>
        <w:t>年   月   日</w:t>
      </w:r>
    </w:p>
    <w:p>
      <w:pPr>
        <w:spacing w:line="360" w:lineRule="auto"/>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附3：</w:t>
      </w:r>
    </w:p>
    <w:tbl>
      <w:tblPr>
        <w:tblStyle w:val="11"/>
        <w:tblW w:w="14083" w:type="dxa"/>
        <w:tblInd w:w="93" w:type="dxa"/>
        <w:tblLayout w:type="fixed"/>
        <w:tblCellMar>
          <w:top w:w="0" w:type="dxa"/>
          <w:left w:w="108" w:type="dxa"/>
          <w:bottom w:w="0" w:type="dxa"/>
          <w:right w:w="108" w:type="dxa"/>
        </w:tblCellMar>
      </w:tblPr>
      <w:tblGrid>
        <w:gridCol w:w="773"/>
        <w:gridCol w:w="1320"/>
        <w:gridCol w:w="778"/>
        <w:gridCol w:w="1895"/>
        <w:gridCol w:w="957"/>
        <w:gridCol w:w="770"/>
        <w:gridCol w:w="770"/>
        <w:gridCol w:w="770"/>
        <w:gridCol w:w="1240"/>
        <w:gridCol w:w="635"/>
        <w:gridCol w:w="135"/>
        <w:gridCol w:w="770"/>
        <w:gridCol w:w="415"/>
        <w:gridCol w:w="355"/>
        <w:gridCol w:w="423"/>
        <w:gridCol w:w="347"/>
        <w:gridCol w:w="423"/>
        <w:gridCol w:w="472"/>
        <w:gridCol w:w="298"/>
        <w:gridCol w:w="537"/>
      </w:tblGrid>
      <w:tr>
        <w:tblPrEx>
          <w:tblCellMar>
            <w:top w:w="0" w:type="dxa"/>
            <w:left w:w="108" w:type="dxa"/>
            <w:bottom w:w="0" w:type="dxa"/>
            <w:right w:w="108" w:type="dxa"/>
          </w:tblCellMar>
        </w:tblPrEx>
        <w:trPr>
          <w:trHeight w:val="450" w:hRule="atLeast"/>
        </w:trPr>
        <w:tc>
          <w:tcPr>
            <w:tcW w:w="14083" w:type="dxa"/>
            <w:gridSpan w:val="20"/>
            <w:tcBorders>
              <w:top w:val="nil"/>
              <w:left w:val="nil"/>
              <w:bottom w:val="nil"/>
              <w:right w:val="nil"/>
            </w:tcBorders>
            <w:shd w:val="clear" w:color="auto" w:fill="auto"/>
            <w:noWrap/>
            <w:vAlign w:val="center"/>
          </w:tcPr>
          <w:p>
            <w:pPr>
              <w:widowControl/>
              <w:spacing w:line="360" w:lineRule="auto"/>
              <w:jc w:val="center"/>
              <w:rPr>
                <w:rFonts w:ascii="SimHei" w:hAnsi="宋体" w:eastAsia="SimHei" w:cs="SimHei"/>
                <w:color w:val="000000"/>
                <w:sz w:val="36"/>
                <w:szCs w:val="36"/>
              </w:rPr>
            </w:pPr>
            <w:r>
              <w:rPr>
                <w:rFonts w:hint="eastAsia" w:ascii="FangSong_GB2312" w:hAnsi="FangSong_GB2312" w:eastAsia="FangSong_GB2312" w:cs="FangSong_GB2312"/>
                <w:b/>
                <w:bCs/>
                <w:sz w:val="32"/>
                <w:szCs w:val="32"/>
              </w:rPr>
              <w:t>资产评估业务清单</w:t>
            </w:r>
          </w:p>
        </w:tc>
      </w:tr>
      <w:tr>
        <w:tblPrEx>
          <w:tblCellMar>
            <w:top w:w="0" w:type="dxa"/>
            <w:left w:w="108" w:type="dxa"/>
            <w:bottom w:w="0" w:type="dxa"/>
            <w:right w:w="108" w:type="dxa"/>
          </w:tblCellMar>
        </w:tblPrEx>
        <w:trPr>
          <w:trHeight w:val="240" w:hRule="atLeast"/>
        </w:trPr>
        <w:tc>
          <w:tcPr>
            <w:tcW w:w="14083" w:type="dxa"/>
            <w:gridSpan w:val="20"/>
            <w:tcBorders>
              <w:top w:val="nil"/>
              <w:left w:val="nil"/>
              <w:bottom w:val="nil"/>
              <w:right w:val="nil"/>
            </w:tcBorders>
            <w:shd w:val="clear" w:color="auto" w:fill="auto"/>
            <w:noWrap/>
            <w:vAlign w:val="center"/>
          </w:tcPr>
          <w:p>
            <w:pPr>
              <w:widowControl/>
              <w:jc w:val="left"/>
              <w:textAlignment w:val="center"/>
              <w:rPr>
                <w:rFonts w:ascii="FangSong_GB2312" w:hAnsi="FangSong_GB2312" w:eastAsia="FangSong_GB2312" w:cs="FangSong_GB2312"/>
                <w:color w:val="000000"/>
                <w:sz w:val="24"/>
                <w:szCs w:val="24"/>
              </w:rPr>
            </w:pPr>
            <w:r>
              <w:rPr>
                <w:rFonts w:hint="eastAsia" w:ascii="FangSong_GB2312" w:hAnsi="FangSong_GB2312" w:eastAsia="FangSong_GB2312" w:cs="FangSong_GB2312"/>
                <w:color w:val="000000"/>
                <w:kern w:val="0"/>
                <w:sz w:val="24"/>
                <w:szCs w:val="24"/>
                <w:lang w:bidi="ar"/>
              </w:rPr>
              <w:t xml:space="preserve">资产评估机构名称： </w:t>
            </w:r>
          </w:p>
        </w:tc>
      </w:tr>
      <w:tr>
        <w:tblPrEx>
          <w:tblCellMar>
            <w:top w:w="0" w:type="dxa"/>
            <w:left w:w="108" w:type="dxa"/>
            <w:bottom w:w="0" w:type="dxa"/>
            <w:right w:w="108" w:type="dxa"/>
          </w:tblCellMar>
        </w:tblPrEx>
        <w:trPr>
          <w:trHeight w:val="240" w:hRule="atLeast"/>
        </w:trPr>
        <w:tc>
          <w:tcPr>
            <w:tcW w:w="9908" w:type="dxa"/>
            <w:gridSpan w:val="10"/>
            <w:tcBorders>
              <w:top w:val="nil"/>
              <w:left w:val="nil"/>
              <w:bottom w:val="nil"/>
              <w:right w:val="nil"/>
            </w:tcBorders>
            <w:shd w:val="clear" w:color="auto" w:fill="auto"/>
            <w:noWrap/>
            <w:vAlign w:val="center"/>
          </w:tcPr>
          <w:p>
            <w:pPr>
              <w:widowControl/>
              <w:jc w:val="left"/>
              <w:textAlignment w:val="center"/>
              <w:rPr>
                <w:rFonts w:ascii="FangSong_GB2312" w:hAnsi="FangSong_GB2312" w:eastAsia="FangSong_GB2312" w:cs="FangSong_GB2312"/>
                <w:color w:val="000000"/>
                <w:sz w:val="24"/>
                <w:szCs w:val="24"/>
              </w:rPr>
            </w:pPr>
            <w:r>
              <w:rPr>
                <w:rFonts w:hint="eastAsia" w:ascii="FangSong_GB2312" w:hAnsi="FangSong_GB2312" w:eastAsia="FangSong_GB2312" w:cs="FangSong_GB2312"/>
                <w:color w:val="000000"/>
                <w:kern w:val="0"/>
                <w:sz w:val="24"/>
                <w:szCs w:val="24"/>
                <w:lang w:bidi="ar"/>
              </w:rPr>
              <w:t>评估机构代码：</w:t>
            </w:r>
          </w:p>
        </w:tc>
        <w:tc>
          <w:tcPr>
            <w:tcW w:w="1320" w:type="dxa"/>
            <w:gridSpan w:val="3"/>
            <w:tcBorders>
              <w:top w:val="nil"/>
              <w:left w:val="nil"/>
              <w:bottom w:val="nil"/>
              <w:right w:val="nil"/>
            </w:tcBorders>
            <w:shd w:val="clear" w:color="auto" w:fill="auto"/>
            <w:noWrap/>
            <w:vAlign w:val="center"/>
          </w:tcPr>
          <w:p>
            <w:pPr>
              <w:jc w:val="right"/>
              <w:rPr>
                <w:rFonts w:ascii="FangSong_GB2312" w:hAnsi="FangSong_GB2312" w:eastAsia="FangSong_GB2312" w:cs="FangSong_GB2312"/>
                <w:color w:val="000000"/>
                <w:sz w:val="24"/>
                <w:szCs w:val="24"/>
              </w:rPr>
            </w:pPr>
          </w:p>
        </w:tc>
        <w:tc>
          <w:tcPr>
            <w:tcW w:w="778" w:type="dxa"/>
            <w:gridSpan w:val="2"/>
            <w:tcBorders>
              <w:top w:val="nil"/>
              <w:left w:val="nil"/>
              <w:bottom w:val="nil"/>
              <w:right w:val="nil"/>
            </w:tcBorders>
            <w:shd w:val="clear" w:color="auto" w:fill="auto"/>
            <w:noWrap/>
            <w:vAlign w:val="center"/>
          </w:tcPr>
          <w:p>
            <w:pPr>
              <w:jc w:val="right"/>
              <w:rPr>
                <w:rFonts w:ascii="FangSong_GB2312" w:hAnsi="FangSong_GB2312" w:eastAsia="FangSong_GB2312" w:cs="FangSong_GB2312"/>
                <w:color w:val="000000"/>
                <w:sz w:val="24"/>
                <w:szCs w:val="24"/>
              </w:rPr>
            </w:pPr>
          </w:p>
        </w:tc>
        <w:tc>
          <w:tcPr>
            <w:tcW w:w="770" w:type="dxa"/>
            <w:gridSpan w:val="2"/>
            <w:tcBorders>
              <w:top w:val="nil"/>
              <w:left w:val="nil"/>
              <w:bottom w:val="nil"/>
              <w:right w:val="nil"/>
            </w:tcBorders>
            <w:shd w:val="clear" w:color="auto" w:fill="auto"/>
            <w:noWrap/>
            <w:vAlign w:val="center"/>
          </w:tcPr>
          <w:p>
            <w:pPr>
              <w:rPr>
                <w:rFonts w:ascii="FangSong_GB2312" w:hAnsi="FangSong_GB2312" w:eastAsia="FangSong_GB2312" w:cs="FangSong_GB2312"/>
                <w:color w:val="000000"/>
                <w:sz w:val="24"/>
                <w:szCs w:val="24"/>
              </w:rPr>
            </w:pPr>
          </w:p>
        </w:tc>
        <w:tc>
          <w:tcPr>
            <w:tcW w:w="770" w:type="dxa"/>
            <w:gridSpan w:val="2"/>
            <w:tcBorders>
              <w:top w:val="nil"/>
              <w:left w:val="nil"/>
              <w:bottom w:val="nil"/>
              <w:right w:val="nil"/>
            </w:tcBorders>
            <w:shd w:val="clear" w:color="auto" w:fill="auto"/>
            <w:noWrap/>
            <w:vAlign w:val="center"/>
          </w:tcPr>
          <w:p>
            <w:pPr>
              <w:rPr>
                <w:rFonts w:ascii="FangSong_GB2312" w:hAnsi="FangSong_GB2312" w:eastAsia="FangSong_GB2312" w:cs="FangSong_GB2312"/>
                <w:color w:val="000000"/>
                <w:sz w:val="24"/>
                <w:szCs w:val="24"/>
              </w:rPr>
            </w:pPr>
          </w:p>
        </w:tc>
        <w:tc>
          <w:tcPr>
            <w:tcW w:w="537" w:type="dxa"/>
            <w:tcBorders>
              <w:top w:val="nil"/>
              <w:left w:val="nil"/>
              <w:bottom w:val="nil"/>
              <w:right w:val="nil"/>
            </w:tcBorders>
            <w:shd w:val="clear" w:color="auto" w:fill="auto"/>
            <w:noWrap/>
            <w:vAlign w:val="center"/>
          </w:tcPr>
          <w:p>
            <w:pPr>
              <w:jc w:val="center"/>
              <w:rPr>
                <w:rFonts w:ascii="FangSong_GB2312" w:hAnsi="FangSong_GB2312" w:eastAsia="FangSong_GB2312" w:cs="FangSong_GB2312"/>
                <w:color w:val="000000"/>
                <w:sz w:val="24"/>
                <w:szCs w:val="24"/>
              </w:rPr>
            </w:pPr>
          </w:p>
        </w:tc>
      </w:tr>
      <w:tr>
        <w:tblPrEx>
          <w:tblCellMar>
            <w:top w:w="0" w:type="dxa"/>
            <w:left w:w="108" w:type="dxa"/>
            <w:bottom w:w="0" w:type="dxa"/>
            <w:right w:w="108" w:type="dxa"/>
          </w:tblCellMar>
        </w:tblPrEx>
        <w:trPr>
          <w:trHeight w:val="240" w:hRule="atLeast"/>
        </w:trPr>
        <w:tc>
          <w:tcPr>
            <w:tcW w:w="9908" w:type="dxa"/>
            <w:gridSpan w:val="10"/>
            <w:tcBorders>
              <w:top w:val="nil"/>
              <w:left w:val="nil"/>
              <w:bottom w:val="single" w:color="000000" w:sz="4" w:space="0"/>
              <w:right w:val="nil"/>
            </w:tcBorders>
            <w:shd w:val="clear" w:color="auto" w:fill="auto"/>
            <w:noWrap/>
            <w:vAlign w:val="center"/>
          </w:tcPr>
          <w:p>
            <w:pPr>
              <w:widowControl/>
              <w:jc w:val="left"/>
              <w:textAlignment w:val="center"/>
              <w:rPr>
                <w:rFonts w:ascii="FangSong_GB2312" w:hAnsi="FangSong_GB2312" w:eastAsia="FangSong_GB2312" w:cs="FangSong_GB2312"/>
                <w:color w:val="000000"/>
                <w:sz w:val="24"/>
                <w:szCs w:val="24"/>
              </w:rPr>
            </w:pPr>
            <w:r>
              <w:rPr>
                <w:rFonts w:hint="eastAsia" w:ascii="FangSong_GB2312" w:hAnsi="FangSong_GB2312" w:eastAsia="FangSong_GB2312" w:cs="FangSong_GB2312"/>
                <w:color w:val="000000"/>
                <w:kern w:val="0"/>
                <w:sz w:val="24"/>
                <w:szCs w:val="24"/>
                <w:lang w:bidi="ar"/>
              </w:rPr>
              <w:t>填写的业务开展期间：XX年X月—XX年X月</w:t>
            </w:r>
          </w:p>
        </w:tc>
        <w:tc>
          <w:tcPr>
            <w:tcW w:w="1320" w:type="dxa"/>
            <w:gridSpan w:val="3"/>
            <w:tcBorders>
              <w:top w:val="nil"/>
              <w:left w:val="nil"/>
              <w:bottom w:val="nil"/>
              <w:right w:val="nil"/>
            </w:tcBorders>
            <w:shd w:val="clear" w:color="auto" w:fill="auto"/>
            <w:noWrap/>
            <w:vAlign w:val="center"/>
          </w:tcPr>
          <w:p>
            <w:pPr>
              <w:jc w:val="right"/>
              <w:rPr>
                <w:rFonts w:ascii="FangSong_GB2312" w:hAnsi="FangSong_GB2312" w:eastAsia="FangSong_GB2312" w:cs="FangSong_GB2312"/>
                <w:color w:val="000000"/>
                <w:sz w:val="24"/>
                <w:szCs w:val="24"/>
              </w:rPr>
            </w:pPr>
          </w:p>
        </w:tc>
        <w:tc>
          <w:tcPr>
            <w:tcW w:w="778" w:type="dxa"/>
            <w:gridSpan w:val="2"/>
            <w:tcBorders>
              <w:top w:val="nil"/>
              <w:left w:val="nil"/>
              <w:bottom w:val="nil"/>
              <w:right w:val="nil"/>
            </w:tcBorders>
            <w:shd w:val="clear" w:color="auto" w:fill="auto"/>
            <w:noWrap/>
            <w:vAlign w:val="center"/>
          </w:tcPr>
          <w:p>
            <w:pPr>
              <w:jc w:val="right"/>
              <w:rPr>
                <w:rFonts w:ascii="FangSong_GB2312" w:hAnsi="FangSong_GB2312" w:eastAsia="FangSong_GB2312" w:cs="FangSong_GB2312"/>
                <w:color w:val="000000"/>
                <w:sz w:val="24"/>
                <w:szCs w:val="24"/>
              </w:rPr>
            </w:pPr>
          </w:p>
        </w:tc>
        <w:tc>
          <w:tcPr>
            <w:tcW w:w="2077" w:type="dxa"/>
            <w:gridSpan w:val="5"/>
            <w:tcBorders>
              <w:top w:val="nil"/>
              <w:left w:val="nil"/>
              <w:bottom w:val="single" w:color="000000" w:sz="4" w:space="0"/>
              <w:right w:val="nil"/>
            </w:tcBorders>
            <w:shd w:val="clear" w:color="auto" w:fill="auto"/>
            <w:noWrap/>
            <w:vAlign w:val="center"/>
          </w:tcPr>
          <w:p>
            <w:pPr>
              <w:widowControl/>
              <w:textAlignment w:val="center"/>
              <w:rPr>
                <w:rFonts w:ascii="FangSong_GB2312" w:hAnsi="FangSong_GB2312" w:eastAsia="FangSong_GB2312" w:cs="FangSong_GB2312"/>
                <w:color w:val="000000"/>
                <w:sz w:val="24"/>
                <w:szCs w:val="24"/>
              </w:rPr>
            </w:pPr>
            <w:r>
              <w:rPr>
                <w:rFonts w:hint="eastAsia" w:ascii="FangSong_GB2312" w:hAnsi="FangSong_GB2312" w:eastAsia="FangSong_GB2312" w:cs="FangSong_GB2312"/>
                <w:color w:val="000000"/>
                <w:kern w:val="0"/>
                <w:sz w:val="24"/>
                <w:szCs w:val="24"/>
                <w:lang w:bidi="ar"/>
              </w:rPr>
              <w:t>填表日期：</w:t>
            </w:r>
          </w:p>
        </w:tc>
      </w:tr>
      <w:tr>
        <w:tblPrEx>
          <w:tblCellMar>
            <w:top w:w="0" w:type="dxa"/>
            <w:left w:w="108" w:type="dxa"/>
            <w:bottom w:w="0" w:type="dxa"/>
            <w:right w:w="108" w:type="dxa"/>
          </w:tblCellMar>
        </w:tblPrEx>
        <w:trPr>
          <w:trHeight w:val="90" w:hRule="atLeast"/>
        </w:trPr>
        <w:tc>
          <w:tcPr>
            <w:tcW w:w="77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序号</w:t>
            </w:r>
          </w:p>
        </w:tc>
        <w:tc>
          <w:tcPr>
            <w:tcW w:w="13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合同编号</w:t>
            </w:r>
          </w:p>
        </w:tc>
        <w:tc>
          <w:tcPr>
            <w:tcW w:w="77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委托人名称</w:t>
            </w:r>
          </w:p>
        </w:tc>
        <w:tc>
          <w:tcPr>
            <w:tcW w:w="18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委托人性质</w:t>
            </w:r>
          </w:p>
        </w:tc>
        <w:tc>
          <w:tcPr>
            <w:tcW w:w="95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约定资产评估服务费（人民币万元）</w:t>
            </w: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资产评估报告文号</w:t>
            </w: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资产评估报告名称</w:t>
            </w: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统一编码</w:t>
            </w:r>
          </w:p>
        </w:tc>
        <w:tc>
          <w:tcPr>
            <w:tcW w:w="12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评估目的</w:t>
            </w: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评估报告出具日期</w:t>
            </w: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最终选取评估方法</w:t>
            </w: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评估结论</w:t>
            </w: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签名人员</w:t>
            </w:r>
          </w:p>
        </w:tc>
        <w:tc>
          <w:tcPr>
            <w:tcW w:w="89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是否证券服务业务</w:t>
            </w:r>
          </w:p>
        </w:tc>
        <w:tc>
          <w:tcPr>
            <w:tcW w:w="83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sz w:val="24"/>
                <w:szCs w:val="24"/>
              </w:rPr>
            </w:pPr>
            <w:r>
              <w:rPr>
                <w:rFonts w:hint="eastAsia" w:ascii="FangSong_GB2312" w:hAnsi="FangSong_GB2312" w:eastAsia="FangSong_GB2312" w:cs="FangSong_GB2312"/>
                <w:kern w:val="0"/>
                <w:sz w:val="24"/>
                <w:szCs w:val="24"/>
                <w:lang w:bidi="ar"/>
              </w:rPr>
              <w:t>备注</w:t>
            </w:r>
          </w:p>
        </w:tc>
      </w:tr>
      <w:tr>
        <w:tblPrEx>
          <w:tblCellMar>
            <w:top w:w="0" w:type="dxa"/>
            <w:left w:w="108" w:type="dxa"/>
            <w:bottom w:w="0" w:type="dxa"/>
            <w:right w:w="108" w:type="dxa"/>
          </w:tblCellMar>
        </w:tblPrEx>
        <w:trPr>
          <w:trHeight w:val="240" w:hRule="atLeast"/>
        </w:trPr>
        <w:tc>
          <w:tcPr>
            <w:tcW w:w="77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r>
              <w:rPr>
                <w:rFonts w:hint="eastAsia" w:ascii="FangSong_GB2312" w:hAnsi="FangSong_GB2312" w:eastAsia="FangSong_GB2312" w:cs="FangSong_GB2312"/>
                <w:color w:val="000000"/>
                <w:kern w:val="0"/>
                <w:sz w:val="24"/>
                <w:szCs w:val="24"/>
                <w:lang w:bidi="ar"/>
              </w:rPr>
              <w:t>1</w:t>
            </w:r>
          </w:p>
        </w:tc>
        <w:tc>
          <w:tcPr>
            <w:tcW w:w="13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18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95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12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9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3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r>
      <w:tr>
        <w:tblPrEx>
          <w:tblCellMar>
            <w:top w:w="0" w:type="dxa"/>
            <w:left w:w="108" w:type="dxa"/>
            <w:bottom w:w="0" w:type="dxa"/>
            <w:right w:w="108" w:type="dxa"/>
          </w:tblCellMar>
        </w:tblPrEx>
        <w:trPr>
          <w:trHeight w:val="240" w:hRule="atLeast"/>
        </w:trPr>
        <w:tc>
          <w:tcPr>
            <w:tcW w:w="77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r>
              <w:rPr>
                <w:rFonts w:hint="eastAsia" w:ascii="FangSong_GB2312" w:hAnsi="FangSong_GB2312" w:eastAsia="FangSong_GB2312" w:cs="FangSong_GB2312"/>
                <w:color w:val="000000"/>
                <w:kern w:val="0"/>
                <w:sz w:val="24"/>
                <w:szCs w:val="24"/>
                <w:lang w:bidi="ar"/>
              </w:rPr>
              <w:t>2</w:t>
            </w:r>
          </w:p>
        </w:tc>
        <w:tc>
          <w:tcPr>
            <w:tcW w:w="13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18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95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12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9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3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r>
      <w:tr>
        <w:tblPrEx>
          <w:tblCellMar>
            <w:top w:w="0" w:type="dxa"/>
            <w:left w:w="108" w:type="dxa"/>
            <w:bottom w:w="0" w:type="dxa"/>
            <w:right w:w="108" w:type="dxa"/>
          </w:tblCellMar>
        </w:tblPrEx>
        <w:trPr>
          <w:trHeight w:val="240" w:hRule="atLeast"/>
        </w:trPr>
        <w:tc>
          <w:tcPr>
            <w:tcW w:w="77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r>
              <w:rPr>
                <w:rFonts w:hint="eastAsia" w:ascii="FangSong_GB2312" w:hAnsi="FangSong_GB2312" w:eastAsia="FangSong_GB2312" w:cs="FangSong_GB2312"/>
                <w:color w:val="000000"/>
                <w:kern w:val="0"/>
                <w:sz w:val="24"/>
                <w:szCs w:val="24"/>
                <w:lang w:bidi="ar"/>
              </w:rPr>
              <w:t>3</w:t>
            </w:r>
          </w:p>
        </w:tc>
        <w:tc>
          <w:tcPr>
            <w:tcW w:w="13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1895"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95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6E6F6F"/>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12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77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9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c>
          <w:tcPr>
            <w:tcW w:w="83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FangSong_GB2312" w:hAnsi="FangSong_GB2312" w:eastAsia="FangSong_GB2312" w:cs="FangSong_GB2312"/>
                <w:color w:val="000000"/>
                <w:kern w:val="0"/>
                <w:sz w:val="24"/>
                <w:szCs w:val="24"/>
                <w:lang w:bidi="ar"/>
              </w:rPr>
            </w:pPr>
          </w:p>
        </w:tc>
      </w:tr>
    </w:tbl>
    <w:p>
      <w:pPr>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注：1.合同编号、资产评估报告文号根据评估机构内部编号填写。</w:t>
      </w:r>
    </w:p>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2.委托人名称、约定的资产评估服务费根据合同填写。</w:t>
      </w:r>
    </w:p>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3.委托人性质主要为拟IPO企业、拟挂牌企业、债券发行人、上市公司、挂牌公司、证券公司、资产管理产品、基金经营机构、基金产品、期货经营机构、期货产品、非证券有关企业、政府机构、事业单位、社会组织、个人等。</w:t>
      </w:r>
    </w:p>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4.统一编码根据资产评估业务报备系统生成的报告统一编码填写。</w:t>
      </w:r>
    </w:p>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5.评估目的：亦为经济行为，主要为IPO上市、公司制改建、对外投资、接受投资、合并、分立、破产、清算、解散、股东股权比例变动、产权转让、上市公司发行股份购买资产、资产转让、置换、拍卖、资产抵押/质押、资产捐赠、资产租赁、资产补偿/损失补偿、资产偿债、资产涉讼、资产收购、接受抵债资产、债转股、债务重组及其他、财务会计报告目的、其他。</w:t>
      </w:r>
    </w:p>
    <w:p>
      <w:pPr>
        <w:ind w:firstLine="480" w:firstLineChars="200"/>
        <w:rPr>
          <w:rFonts w:ascii="FangSong_GB2312" w:hAnsi="FangSong_GB2312" w:eastAsia="FangSong_GB2312" w:cs="FangSong_GB2312"/>
          <w:sz w:val="24"/>
          <w:szCs w:val="24"/>
        </w:rPr>
      </w:pPr>
      <w:r>
        <w:rPr>
          <w:rFonts w:hint="eastAsia" w:ascii="FangSong_GB2312" w:hAnsi="FangSong_GB2312" w:eastAsia="FangSong_GB2312" w:cs="FangSong_GB2312"/>
          <w:sz w:val="24"/>
          <w:szCs w:val="24"/>
        </w:rPr>
        <w:t>6、最终选取的评估方法：主要为成本法、市场法、收益法、衍生方法、具体衍生方法等。</w:t>
      </w:r>
    </w:p>
    <w:p>
      <w:pPr>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br w:type="page"/>
      </w:r>
    </w:p>
    <w:p>
      <w:pPr>
        <w:spacing w:line="360" w:lineRule="auto"/>
        <w:rPr>
          <w:rFonts w:ascii="FangSong_GB2312" w:eastAsia="FangSong_GB2312"/>
          <w:b/>
          <w:sz w:val="28"/>
        </w:rPr>
      </w:pPr>
      <w:r>
        <w:rPr>
          <w:rFonts w:hint="eastAsia" w:ascii="FangSong_GB2312" w:hAnsi="FangSong_GB2312" w:eastAsia="FangSong_GB2312" w:cs="FangSong_GB2312"/>
          <w:sz w:val="32"/>
          <w:szCs w:val="32"/>
        </w:rPr>
        <w:t>附4：</w:t>
      </w:r>
    </w:p>
    <w:p>
      <w:pPr>
        <w:jc w:val="center"/>
        <w:rPr>
          <w:rFonts w:ascii="宋体"/>
          <w:b/>
          <w:sz w:val="30"/>
        </w:rPr>
      </w:pPr>
      <w:r>
        <w:rPr>
          <w:rFonts w:hint="eastAsia" w:ascii="FangSong_GB2312" w:hAnsi="FangSong_GB2312" w:eastAsia="FangSong_GB2312" w:cs="FangSong_GB2312"/>
          <w:b/>
          <w:sz w:val="32"/>
          <w:szCs w:val="32"/>
        </w:rPr>
        <w:t>资产评估师及管理人员情况表</w:t>
      </w:r>
    </w:p>
    <w:p>
      <w:pPr>
        <w:spacing w:line="300" w:lineRule="exact"/>
        <w:jc w:val="center"/>
        <w:rPr>
          <w:rFonts w:ascii="宋体"/>
          <w:b/>
          <w:sz w:val="30"/>
        </w:rPr>
      </w:pPr>
    </w:p>
    <w:p>
      <w:pPr>
        <w:rPr>
          <w:rFonts w:ascii="FangSong_GB2312" w:hAnsi="FangSong_GB2312" w:eastAsia="FangSong_GB2312" w:cs="FangSong_GB2312"/>
          <w:bCs/>
          <w:sz w:val="24"/>
        </w:rPr>
      </w:pPr>
      <w:r>
        <w:rPr>
          <w:rFonts w:hint="eastAsia" w:ascii="FangSong_GB2312" w:hAnsi="FangSong_GB2312" w:eastAsia="FangSong_GB2312" w:cs="FangSong_GB2312"/>
          <w:bCs/>
          <w:sz w:val="24"/>
        </w:rPr>
        <w:t>资产评估机构名称（盖章）：               填报基准日:      年   月   日（</w:t>
      </w:r>
      <w:r>
        <w:rPr>
          <w:rFonts w:hint="eastAsia" w:ascii="FangSong_GB2312" w:hAnsi="FangSong_GB2312" w:eastAsia="FangSong_GB2312" w:cs="FangSong_GB2312"/>
          <w:sz w:val="24"/>
        </w:rPr>
        <w:t>备案上月末）</w:t>
      </w:r>
      <w:r>
        <w:rPr>
          <w:rFonts w:hint="eastAsia" w:ascii="FangSong_GB2312" w:hAnsi="FangSong_GB2312" w:eastAsia="FangSong_GB2312" w:cs="FangSong_GB2312"/>
          <w:bCs/>
          <w:sz w:val="24"/>
        </w:rPr>
        <w:t>填报日期:     年   月   日</w:t>
      </w:r>
    </w:p>
    <w:tbl>
      <w:tblPr>
        <w:tblStyle w:val="11"/>
        <w:tblW w:w="14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2"/>
        <w:gridCol w:w="522"/>
        <w:gridCol w:w="628"/>
        <w:gridCol w:w="731"/>
        <w:gridCol w:w="667"/>
        <w:gridCol w:w="849"/>
        <w:gridCol w:w="680"/>
        <w:gridCol w:w="955"/>
        <w:gridCol w:w="1147"/>
        <w:gridCol w:w="1147"/>
        <w:gridCol w:w="984"/>
        <w:gridCol w:w="827"/>
        <w:gridCol w:w="827"/>
        <w:gridCol w:w="827"/>
        <w:gridCol w:w="862"/>
        <w:gridCol w:w="862"/>
        <w:gridCol w:w="862"/>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序号</w:t>
            </w:r>
          </w:p>
        </w:tc>
        <w:tc>
          <w:tcPr>
            <w:tcW w:w="522"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姓 名</w:t>
            </w:r>
          </w:p>
        </w:tc>
        <w:tc>
          <w:tcPr>
            <w:tcW w:w="628"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证件类型</w:t>
            </w:r>
          </w:p>
        </w:tc>
        <w:tc>
          <w:tcPr>
            <w:tcW w:w="731"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证件号码</w:t>
            </w:r>
          </w:p>
        </w:tc>
        <w:tc>
          <w:tcPr>
            <w:tcW w:w="66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所在分支机构</w:t>
            </w:r>
          </w:p>
        </w:tc>
        <w:tc>
          <w:tcPr>
            <w:tcW w:w="849"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执业会员编号</w:t>
            </w:r>
          </w:p>
        </w:tc>
        <w:tc>
          <w:tcPr>
            <w:tcW w:w="680"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初次登记日期</w:t>
            </w:r>
          </w:p>
        </w:tc>
        <w:tc>
          <w:tcPr>
            <w:tcW w:w="955"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连续执业时间</w:t>
            </w:r>
          </w:p>
        </w:tc>
        <w:tc>
          <w:tcPr>
            <w:tcW w:w="114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在本机构连续执业时 间</w:t>
            </w:r>
          </w:p>
        </w:tc>
        <w:tc>
          <w:tcPr>
            <w:tcW w:w="114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连续从事过证券评估业务时间</w:t>
            </w:r>
          </w:p>
        </w:tc>
        <w:tc>
          <w:tcPr>
            <w:tcW w:w="984"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是否拟从事证券评估业务</w:t>
            </w:r>
          </w:p>
        </w:tc>
        <w:tc>
          <w:tcPr>
            <w:tcW w:w="82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是否担任质量控制负责人</w:t>
            </w:r>
          </w:p>
        </w:tc>
        <w:tc>
          <w:tcPr>
            <w:tcW w:w="82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是否担任法定代表人（执行合伙人）</w:t>
            </w:r>
          </w:p>
        </w:tc>
        <w:tc>
          <w:tcPr>
            <w:tcW w:w="827"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是否担任首席评估师</w:t>
            </w:r>
          </w:p>
        </w:tc>
        <w:tc>
          <w:tcPr>
            <w:tcW w:w="862"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是否为股东（合伙人）</w:t>
            </w:r>
          </w:p>
        </w:tc>
        <w:tc>
          <w:tcPr>
            <w:tcW w:w="862"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出资额（万元）</w:t>
            </w:r>
          </w:p>
        </w:tc>
        <w:tc>
          <w:tcPr>
            <w:tcW w:w="862" w:type="dxa"/>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持股比例</w:t>
            </w:r>
          </w:p>
        </w:tc>
        <w:tc>
          <w:tcPr>
            <w:tcW w:w="862" w:type="dxa"/>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是否专职在本机构工作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tcPr>
          <w:p>
            <w:pPr>
              <w:spacing w:line="400" w:lineRule="exact"/>
              <w:jc w:val="center"/>
              <w:rPr>
                <w:rFonts w:ascii="FangSong_GB2312" w:hAnsi="FangSong_GB2312" w:eastAsia="FangSong_GB2312" w:cs="FangSong_GB2312"/>
                <w:sz w:val="24"/>
              </w:rPr>
            </w:pPr>
          </w:p>
        </w:tc>
        <w:tc>
          <w:tcPr>
            <w:tcW w:w="522" w:type="dxa"/>
          </w:tcPr>
          <w:p>
            <w:pPr>
              <w:spacing w:line="400" w:lineRule="exact"/>
              <w:jc w:val="center"/>
              <w:rPr>
                <w:rFonts w:ascii="FangSong_GB2312" w:hAnsi="FangSong_GB2312" w:eastAsia="FangSong_GB2312" w:cs="FangSong_GB2312"/>
                <w:sz w:val="24"/>
              </w:rPr>
            </w:pPr>
          </w:p>
        </w:tc>
        <w:tc>
          <w:tcPr>
            <w:tcW w:w="628" w:type="dxa"/>
          </w:tcPr>
          <w:p>
            <w:pPr>
              <w:spacing w:line="400" w:lineRule="exact"/>
              <w:jc w:val="center"/>
              <w:rPr>
                <w:rFonts w:ascii="FangSong_GB2312" w:hAnsi="FangSong_GB2312" w:eastAsia="FangSong_GB2312" w:cs="FangSong_GB2312"/>
                <w:sz w:val="24"/>
              </w:rPr>
            </w:pPr>
          </w:p>
        </w:tc>
        <w:tc>
          <w:tcPr>
            <w:tcW w:w="731" w:type="dxa"/>
          </w:tcPr>
          <w:p>
            <w:pPr>
              <w:spacing w:line="400" w:lineRule="exact"/>
              <w:jc w:val="center"/>
              <w:rPr>
                <w:rFonts w:ascii="FangSong_GB2312" w:hAnsi="FangSong_GB2312" w:eastAsia="FangSong_GB2312" w:cs="FangSong_GB2312"/>
                <w:sz w:val="24"/>
              </w:rPr>
            </w:pPr>
          </w:p>
        </w:tc>
        <w:tc>
          <w:tcPr>
            <w:tcW w:w="667" w:type="dxa"/>
          </w:tcPr>
          <w:p>
            <w:pPr>
              <w:spacing w:line="400" w:lineRule="exact"/>
              <w:jc w:val="center"/>
              <w:rPr>
                <w:rFonts w:ascii="FangSong_GB2312" w:hAnsi="FangSong_GB2312" w:eastAsia="FangSong_GB2312" w:cs="FangSong_GB2312"/>
                <w:sz w:val="24"/>
              </w:rPr>
            </w:pPr>
          </w:p>
        </w:tc>
        <w:tc>
          <w:tcPr>
            <w:tcW w:w="849" w:type="dxa"/>
          </w:tcPr>
          <w:p>
            <w:pPr>
              <w:spacing w:line="400" w:lineRule="exact"/>
              <w:jc w:val="center"/>
              <w:rPr>
                <w:rFonts w:ascii="FangSong_GB2312" w:hAnsi="FangSong_GB2312" w:eastAsia="FangSong_GB2312" w:cs="FangSong_GB2312"/>
                <w:sz w:val="24"/>
              </w:rPr>
            </w:pPr>
          </w:p>
        </w:tc>
        <w:tc>
          <w:tcPr>
            <w:tcW w:w="680" w:type="dxa"/>
          </w:tcPr>
          <w:p>
            <w:pPr>
              <w:spacing w:line="400" w:lineRule="exact"/>
              <w:jc w:val="center"/>
              <w:rPr>
                <w:rFonts w:ascii="FangSong_GB2312" w:hAnsi="FangSong_GB2312" w:eastAsia="FangSong_GB2312" w:cs="FangSong_GB2312"/>
                <w:sz w:val="24"/>
              </w:rPr>
            </w:pPr>
          </w:p>
        </w:tc>
        <w:tc>
          <w:tcPr>
            <w:tcW w:w="955"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984"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tcPr>
          <w:p>
            <w:pPr>
              <w:spacing w:line="400" w:lineRule="exact"/>
              <w:jc w:val="center"/>
              <w:rPr>
                <w:rFonts w:ascii="FangSong_GB2312" w:hAnsi="FangSong_GB2312" w:eastAsia="FangSong_GB2312" w:cs="FangSong_GB2312"/>
                <w:sz w:val="24"/>
              </w:rPr>
            </w:pPr>
          </w:p>
        </w:tc>
        <w:tc>
          <w:tcPr>
            <w:tcW w:w="522" w:type="dxa"/>
          </w:tcPr>
          <w:p>
            <w:pPr>
              <w:spacing w:line="400" w:lineRule="exact"/>
              <w:jc w:val="center"/>
              <w:rPr>
                <w:rFonts w:ascii="FangSong_GB2312" w:hAnsi="FangSong_GB2312" w:eastAsia="FangSong_GB2312" w:cs="FangSong_GB2312"/>
                <w:sz w:val="24"/>
              </w:rPr>
            </w:pPr>
          </w:p>
        </w:tc>
        <w:tc>
          <w:tcPr>
            <w:tcW w:w="628" w:type="dxa"/>
          </w:tcPr>
          <w:p>
            <w:pPr>
              <w:spacing w:line="400" w:lineRule="exact"/>
              <w:jc w:val="center"/>
              <w:rPr>
                <w:rFonts w:ascii="FangSong_GB2312" w:hAnsi="FangSong_GB2312" w:eastAsia="FangSong_GB2312" w:cs="FangSong_GB2312"/>
                <w:sz w:val="24"/>
              </w:rPr>
            </w:pPr>
          </w:p>
        </w:tc>
        <w:tc>
          <w:tcPr>
            <w:tcW w:w="731" w:type="dxa"/>
          </w:tcPr>
          <w:p>
            <w:pPr>
              <w:spacing w:line="400" w:lineRule="exact"/>
              <w:jc w:val="center"/>
              <w:rPr>
                <w:rFonts w:ascii="FangSong_GB2312" w:hAnsi="FangSong_GB2312" w:eastAsia="FangSong_GB2312" w:cs="FangSong_GB2312"/>
                <w:sz w:val="24"/>
              </w:rPr>
            </w:pPr>
          </w:p>
        </w:tc>
        <w:tc>
          <w:tcPr>
            <w:tcW w:w="667" w:type="dxa"/>
          </w:tcPr>
          <w:p>
            <w:pPr>
              <w:spacing w:line="400" w:lineRule="exact"/>
              <w:jc w:val="center"/>
              <w:rPr>
                <w:rFonts w:ascii="FangSong_GB2312" w:hAnsi="FangSong_GB2312" w:eastAsia="FangSong_GB2312" w:cs="FangSong_GB2312"/>
                <w:sz w:val="24"/>
              </w:rPr>
            </w:pPr>
          </w:p>
        </w:tc>
        <w:tc>
          <w:tcPr>
            <w:tcW w:w="849" w:type="dxa"/>
          </w:tcPr>
          <w:p>
            <w:pPr>
              <w:spacing w:line="400" w:lineRule="exact"/>
              <w:jc w:val="center"/>
              <w:rPr>
                <w:rFonts w:ascii="FangSong_GB2312" w:hAnsi="FangSong_GB2312" w:eastAsia="FangSong_GB2312" w:cs="FangSong_GB2312"/>
                <w:sz w:val="24"/>
              </w:rPr>
            </w:pPr>
          </w:p>
        </w:tc>
        <w:tc>
          <w:tcPr>
            <w:tcW w:w="680" w:type="dxa"/>
          </w:tcPr>
          <w:p>
            <w:pPr>
              <w:spacing w:line="400" w:lineRule="exact"/>
              <w:jc w:val="center"/>
              <w:rPr>
                <w:rFonts w:ascii="FangSong_GB2312" w:hAnsi="FangSong_GB2312" w:eastAsia="FangSong_GB2312" w:cs="FangSong_GB2312"/>
                <w:sz w:val="24"/>
              </w:rPr>
            </w:pPr>
          </w:p>
        </w:tc>
        <w:tc>
          <w:tcPr>
            <w:tcW w:w="955"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984"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02" w:type="dxa"/>
          </w:tcPr>
          <w:p>
            <w:pPr>
              <w:spacing w:line="400" w:lineRule="exact"/>
              <w:jc w:val="center"/>
              <w:rPr>
                <w:rFonts w:ascii="FangSong_GB2312" w:hAnsi="FangSong_GB2312" w:eastAsia="FangSong_GB2312" w:cs="FangSong_GB2312"/>
                <w:sz w:val="24"/>
              </w:rPr>
            </w:pPr>
          </w:p>
        </w:tc>
        <w:tc>
          <w:tcPr>
            <w:tcW w:w="522" w:type="dxa"/>
          </w:tcPr>
          <w:p>
            <w:pPr>
              <w:spacing w:line="400" w:lineRule="exact"/>
              <w:jc w:val="center"/>
              <w:rPr>
                <w:rFonts w:ascii="FangSong_GB2312" w:hAnsi="FangSong_GB2312" w:eastAsia="FangSong_GB2312" w:cs="FangSong_GB2312"/>
                <w:sz w:val="24"/>
              </w:rPr>
            </w:pPr>
          </w:p>
        </w:tc>
        <w:tc>
          <w:tcPr>
            <w:tcW w:w="628" w:type="dxa"/>
          </w:tcPr>
          <w:p>
            <w:pPr>
              <w:spacing w:line="400" w:lineRule="exact"/>
              <w:jc w:val="center"/>
              <w:rPr>
                <w:rFonts w:ascii="FangSong_GB2312" w:hAnsi="FangSong_GB2312" w:eastAsia="FangSong_GB2312" w:cs="FangSong_GB2312"/>
                <w:sz w:val="24"/>
              </w:rPr>
            </w:pPr>
          </w:p>
        </w:tc>
        <w:tc>
          <w:tcPr>
            <w:tcW w:w="731" w:type="dxa"/>
          </w:tcPr>
          <w:p>
            <w:pPr>
              <w:spacing w:line="400" w:lineRule="exact"/>
              <w:jc w:val="center"/>
              <w:rPr>
                <w:rFonts w:ascii="FangSong_GB2312" w:hAnsi="FangSong_GB2312" w:eastAsia="FangSong_GB2312" w:cs="FangSong_GB2312"/>
                <w:sz w:val="24"/>
              </w:rPr>
            </w:pPr>
          </w:p>
        </w:tc>
        <w:tc>
          <w:tcPr>
            <w:tcW w:w="667" w:type="dxa"/>
          </w:tcPr>
          <w:p>
            <w:pPr>
              <w:spacing w:line="400" w:lineRule="exact"/>
              <w:jc w:val="center"/>
              <w:rPr>
                <w:rFonts w:ascii="FangSong_GB2312" w:hAnsi="FangSong_GB2312" w:eastAsia="FangSong_GB2312" w:cs="FangSong_GB2312"/>
                <w:sz w:val="24"/>
              </w:rPr>
            </w:pPr>
          </w:p>
        </w:tc>
        <w:tc>
          <w:tcPr>
            <w:tcW w:w="849" w:type="dxa"/>
          </w:tcPr>
          <w:p>
            <w:pPr>
              <w:spacing w:line="400" w:lineRule="exact"/>
              <w:jc w:val="center"/>
              <w:rPr>
                <w:rFonts w:ascii="FangSong_GB2312" w:hAnsi="FangSong_GB2312" w:eastAsia="FangSong_GB2312" w:cs="FangSong_GB2312"/>
                <w:sz w:val="24"/>
              </w:rPr>
            </w:pPr>
          </w:p>
        </w:tc>
        <w:tc>
          <w:tcPr>
            <w:tcW w:w="680" w:type="dxa"/>
          </w:tcPr>
          <w:p>
            <w:pPr>
              <w:spacing w:line="400" w:lineRule="exact"/>
              <w:jc w:val="center"/>
              <w:rPr>
                <w:rFonts w:ascii="FangSong_GB2312" w:hAnsi="FangSong_GB2312" w:eastAsia="FangSong_GB2312" w:cs="FangSong_GB2312"/>
                <w:sz w:val="24"/>
              </w:rPr>
            </w:pPr>
          </w:p>
        </w:tc>
        <w:tc>
          <w:tcPr>
            <w:tcW w:w="955"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984"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tcPr>
          <w:p>
            <w:pPr>
              <w:spacing w:line="400" w:lineRule="exact"/>
              <w:jc w:val="center"/>
              <w:rPr>
                <w:rFonts w:ascii="FangSong_GB2312" w:hAnsi="FangSong_GB2312" w:eastAsia="FangSong_GB2312" w:cs="FangSong_GB2312"/>
                <w:sz w:val="24"/>
              </w:rPr>
            </w:pPr>
          </w:p>
        </w:tc>
        <w:tc>
          <w:tcPr>
            <w:tcW w:w="522" w:type="dxa"/>
          </w:tcPr>
          <w:p>
            <w:pPr>
              <w:spacing w:line="400" w:lineRule="exact"/>
              <w:jc w:val="center"/>
              <w:rPr>
                <w:rFonts w:ascii="FangSong_GB2312" w:hAnsi="FangSong_GB2312" w:eastAsia="FangSong_GB2312" w:cs="FangSong_GB2312"/>
                <w:sz w:val="24"/>
              </w:rPr>
            </w:pPr>
          </w:p>
        </w:tc>
        <w:tc>
          <w:tcPr>
            <w:tcW w:w="628" w:type="dxa"/>
          </w:tcPr>
          <w:p>
            <w:pPr>
              <w:spacing w:line="400" w:lineRule="exact"/>
              <w:jc w:val="center"/>
              <w:rPr>
                <w:rFonts w:ascii="FangSong_GB2312" w:hAnsi="FangSong_GB2312" w:eastAsia="FangSong_GB2312" w:cs="FangSong_GB2312"/>
                <w:sz w:val="24"/>
              </w:rPr>
            </w:pPr>
          </w:p>
        </w:tc>
        <w:tc>
          <w:tcPr>
            <w:tcW w:w="731" w:type="dxa"/>
          </w:tcPr>
          <w:p>
            <w:pPr>
              <w:spacing w:line="400" w:lineRule="exact"/>
              <w:jc w:val="center"/>
              <w:rPr>
                <w:rFonts w:ascii="FangSong_GB2312" w:hAnsi="FangSong_GB2312" w:eastAsia="FangSong_GB2312" w:cs="FangSong_GB2312"/>
                <w:sz w:val="24"/>
              </w:rPr>
            </w:pPr>
          </w:p>
        </w:tc>
        <w:tc>
          <w:tcPr>
            <w:tcW w:w="667" w:type="dxa"/>
          </w:tcPr>
          <w:p>
            <w:pPr>
              <w:spacing w:line="400" w:lineRule="exact"/>
              <w:jc w:val="center"/>
              <w:rPr>
                <w:rFonts w:ascii="FangSong_GB2312" w:hAnsi="FangSong_GB2312" w:eastAsia="FangSong_GB2312" w:cs="FangSong_GB2312"/>
                <w:sz w:val="24"/>
              </w:rPr>
            </w:pPr>
          </w:p>
        </w:tc>
        <w:tc>
          <w:tcPr>
            <w:tcW w:w="849" w:type="dxa"/>
          </w:tcPr>
          <w:p>
            <w:pPr>
              <w:spacing w:line="400" w:lineRule="exact"/>
              <w:jc w:val="center"/>
              <w:rPr>
                <w:rFonts w:ascii="FangSong_GB2312" w:hAnsi="FangSong_GB2312" w:eastAsia="FangSong_GB2312" w:cs="FangSong_GB2312"/>
                <w:sz w:val="24"/>
              </w:rPr>
            </w:pPr>
          </w:p>
        </w:tc>
        <w:tc>
          <w:tcPr>
            <w:tcW w:w="680" w:type="dxa"/>
          </w:tcPr>
          <w:p>
            <w:pPr>
              <w:spacing w:line="400" w:lineRule="exact"/>
              <w:jc w:val="center"/>
              <w:rPr>
                <w:rFonts w:ascii="FangSong_GB2312" w:hAnsi="FangSong_GB2312" w:eastAsia="FangSong_GB2312" w:cs="FangSong_GB2312"/>
                <w:sz w:val="24"/>
              </w:rPr>
            </w:pPr>
          </w:p>
        </w:tc>
        <w:tc>
          <w:tcPr>
            <w:tcW w:w="955"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984"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2" w:type="dxa"/>
          </w:tcPr>
          <w:p>
            <w:pPr>
              <w:spacing w:line="400" w:lineRule="exact"/>
              <w:jc w:val="center"/>
              <w:rPr>
                <w:rFonts w:ascii="FangSong_GB2312" w:hAnsi="FangSong_GB2312" w:eastAsia="FangSong_GB2312" w:cs="FangSong_GB2312"/>
                <w:sz w:val="24"/>
              </w:rPr>
            </w:pPr>
          </w:p>
        </w:tc>
        <w:tc>
          <w:tcPr>
            <w:tcW w:w="522" w:type="dxa"/>
          </w:tcPr>
          <w:p>
            <w:pPr>
              <w:spacing w:line="400" w:lineRule="exact"/>
              <w:jc w:val="center"/>
              <w:rPr>
                <w:rFonts w:ascii="FangSong_GB2312" w:hAnsi="FangSong_GB2312" w:eastAsia="FangSong_GB2312" w:cs="FangSong_GB2312"/>
                <w:sz w:val="24"/>
              </w:rPr>
            </w:pPr>
          </w:p>
        </w:tc>
        <w:tc>
          <w:tcPr>
            <w:tcW w:w="628" w:type="dxa"/>
          </w:tcPr>
          <w:p>
            <w:pPr>
              <w:spacing w:line="400" w:lineRule="exact"/>
              <w:jc w:val="center"/>
              <w:rPr>
                <w:rFonts w:ascii="FangSong_GB2312" w:hAnsi="FangSong_GB2312" w:eastAsia="FangSong_GB2312" w:cs="FangSong_GB2312"/>
                <w:sz w:val="24"/>
              </w:rPr>
            </w:pPr>
          </w:p>
        </w:tc>
        <w:tc>
          <w:tcPr>
            <w:tcW w:w="731" w:type="dxa"/>
          </w:tcPr>
          <w:p>
            <w:pPr>
              <w:spacing w:line="400" w:lineRule="exact"/>
              <w:jc w:val="center"/>
              <w:rPr>
                <w:rFonts w:ascii="FangSong_GB2312" w:hAnsi="FangSong_GB2312" w:eastAsia="FangSong_GB2312" w:cs="FangSong_GB2312"/>
                <w:sz w:val="24"/>
              </w:rPr>
            </w:pPr>
          </w:p>
        </w:tc>
        <w:tc>
          <w:tcPr>
            <w:tcW w:w="667" w:type="dxa"/>
          </w:tcPr>
          <w:p>
            <w:pPr>
              <w:spacing w:line="400" w:lineRule="exact"/>
              <w:jc w:val="center"/>
              <w:rPr>
                <w:rFonts w:ascii="FangSong_GB2312" w:hAnsi="FangSong_GB2312" w:eastAsia="FangSong_GB2312" w:cs="FangSong_GB2312"/>
                <w:sz w:val="24"/>
              </w:rPr>
            </w:pPr>
          </w:p>
        </w:tc>
        <w:tc>
          <w:tcPr>
            <w:tcW w:w="849" w:type="dxa"/>
          </w:tcPr>
          <w:p>
            <w:pPr>
              <w:spacing w:line="400" w:lineRule="exact"/>
              <w:jc w:val="center"/>
              <w:rPr>
                <w:rFonts w:ascii="FangSong_GB2312" w:hAnsi="FangSong_GB2312" w:eastAsia="FangSong_GB2312" w:cs="FangSong_GB2312"/>
                <w:sz w:val="24"/>
              </w:rPr>
            </w:pPr>
          </w:p>
        </w:tc>
        <w:tc>
          <w:tcPr>
            <w:tcW w:w="680" w:type="dxa"/>
          </w:tcPr>
          <w:p>
            <w:pPr>
              <w:spacing w:line="400" w:lineRule="exact"/>
              <w:jc w:val="center"/>
              <w:rPr>
                <w:rFonts w:ascii="FangSong_GB2312" w:hAnsi="FangSong_GB2312" w:eastAsia="FangSong_GB2312" w:cs="FangSong_GB2312"/>
                <w:sz w:val="24"/>
              </w:rPr>
            </w:pPr>
          </w:p>
        </w:tc>
        <w:tc>
          <w:tcPr>
            <w:tcW w:w="955"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1147" w:type="dxa"/>
          </w:tcPr>
          <w:p>
            <w:pPr>
              <w:spacing w:line="400" w:lineRule="exact"/>
              <w:jc w:val="center"/>
              <w:rPr>
                <w:rFonts w:ascii="FangSong_GB2312" w:hAnsi="FangSong_GB2312" w:eastAsia="FangSong_GB2312" w:cs="FangSong_GB2312"/>
                <w:sz w:val="24"/>
              </w:rPr>
            </w:pPr>
          </w:p>
        </w:tc>
        <w:tc>
          <w:tcPr>
            <w:tcW w:w="984"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27"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spacing w:line="400" w:lineRule="exact"/>
              <w:jc w:val="center"/>
              <w:rPr>
                <w:rFonts w:ascii="FangSong_GB2312" w:hAnsi="FangSong_GB2312" w:eastAsia="FangSong_GB2312" w:cs="FangSong_GB2312"/>
                <w:sz w:val="24"/>
              </w:rPr>
            </w:pPr>
          </w:p>
        </w:tc>
        <w:tc>
          <w:tcPr>
            <w:tcW w:w="862" w:type="dxa"/>
          </w:tcPr>
          <w:p>
            <w:pPr>
              <w:rPr>
                <w:rFonts w:ascii="FangSong_GB2312" w:hAnsi="FangSong_GB2312" w:eastAsia="FangSong_GB2312" w:cs="FangSong_GB2312"/>
                <w:sz w:val="24"/>
              </w:rPr>
            </w:pPr>
          </w:p>
        </w:tc>
      </w:tr>
    </w:tbl>
    <w:p>
      <w:pPr>
        <w:ind w:left="525" w:hanging="525"/>
        <w:rPr>
          <w:rFonts w:ascii="FangSong_GB2312" w:hAnsi="FangSong_GB2312" w:eastAsia="FangSong_GB2312" w:cs="FangSong_GB2312"/>
          <w:sz w:val="24"/>
        </w:rPr>
      </w:pPr>
      <w:r>
        <w:rPr>
          <w:rFonts w:hint="eastAsia" w:ascii="FangSong_GB2312" w:hAnsi="FangSong_GB2312" w:eastAsia="FangSong_GB2312" w:cs="FangSong_GB2312"/>
          <w:sz w:val="24"/>
        </w:rPr>
        <w:t>注：1.按照法定代表人、首席评估师、质量控制负责人、其他副总经理以上高级管理人员、其他股东（合伙人）、其他资产评估师（含珠宝）填写本表。</w:t>
      </w:r>
    </w:p>
    <w:p>
      <w:pPr>
        <w:ind w:left="525" w:hanging="45"/>
        <w:rPr>
          <w:rFonts w:ascii="FangSong_GB2312" w:hAnsi="FangSong_GB2312" w:eastAsia="FangSong_GB2312" w:cs="FangSong_GB2312"/>
          <w:sz w:val="24"/>
        </w:rPr>
      </w:pPr>
      <w:r>
        <w:rPr>
          <w:rFonts w:ascii="FangSong_GB2312" w:hAnsi="FangSong_GB2312" w:eastAsia="FangSong_GB2312" w:cs="FangSong_GB2312"/>
          <w:sz w:val="24"/>
        </w:rPr>
        <w:t>2.</w:t>
      </w:r>
      <w:r>
        <w:rPr>
          <w:rFonts w:hint="eastAsia" w:ascii="FangSong_GB2312" w:hAnsi="FangSong_GB2312" w:eastAsia="FangSong_GB2312" w:cs="FangSong_GB2312"/>
          <w:sz w:val="24"/>
        </w:rPr>
        <w:t>资产评估师包含分公司但不包含子公司，资产评估师按照执业登记时间的先后顺序填写。</w:t>
      </w:r>
    </w:p>
    <w:p>
      <w:pPr>
        <w:ind w:left="525" w:hanging="45"/>
        <w:rPr>
          <w:rFonts w:ascii="FangSong_GB2312" w:hAnsi="FangSong_GB2312" w:eastAsia="FangSong_GB2312" w:cs="FangSong_GB2312"/>
          <w:sz w:val="24"/>
        </w:rPr>
      </w:pPr>
      <w:r>
        <w:rPr>
          <w:rFonts w:hint="eastAsia" w:ascii="FangSong_GB2312" w:hAnsi="FangSong_GB2312" w:eastAsia="FangSong_GB2312" w:cs="FangSong_GB2312"/>
          <w:sz w:val="24"/>
        </w:rPr>
        <w:t>3</w:t>
      </w:r>
      <w:r>
        <w:rPr>
          <w:rFonts w:ascii="FangSong_GB2312" w:hAnsi="FangSong_GB2312" w:eastAsia="FangSong_GB2312" w:cs="FangSong_GB2312"/>
          <w:sz w:val="24"/>
        </w:rPr>
        <w:t>.</w:t>
      </w:r>
      <w:r>
        <w:rPr>
          <w:rFonts w:hint="eastAsia" w:ascii="FangSong_GB2312" w:hAnsi="FangSong_GB2312" w:eastAsia="FangSong_GB2312" w:cs="FangSong_GB2312"/>
          <w:sz w:val="24"/>
        </w:rPr>
        <w:t>所在分支机构填写资产评估机构或者分支机构的全称。</w:t>
      </w:r>
    </w:p>
    <w:p>
      <w:pPr>
        <w:ind w:firstLine="480" w:firstLineChars="200"/>
        <w:rPr>
          <w:rFonts w:ascii="FangSong_GB2312" w:hAnsi="FangSong_GB2312" w:eastAsia="FangSong_GB2312" w:cs="FangSong_GB2312"/>
          <w:sz w:val="24"/>
        </w:rPr>
      </w:pPr>
      <w:r>
        <w:rPr>
          <w:rFonts w:ascii="FangSong_GB2312" w:hAnsi="FangSong_GB2312" w:eastAsia="FangSong_GB2312" w:cs="FangSong_GB2312"/>
          <w:sz w:val="24"/>
        </w:rPr>
        <w:t>4</w:t>
      </w:r>
      <w:r>
        <w:rPr>
          <w:rFonts w:hint="eastAsia" w:ascii="FangSong_GB2312" w:hAnsi="FangSong_GB2312" w:eastAsia="FangSong_GB2312" w:cs="FangSong_GB2312"/>
          <w:sz w:val="24"/>
        </w:rPr>
        <w:t>.自然人有身份证的，身份证件类型</w:t>
      </w:r>
      <w:r>
        <w:rPr>
          <w:rFonts w:hint="eastAsia" w:ascii="FangSong_GB2312" w:hAnsi="FangSong_GB2312" w:eastAsia="FangSong_GB2312" w:cs="FangSong_GB2312"/>
          <w:color w:val="auto"/>
          <w:sz w:val="24"/>
        </w:rPr>
        <w:t>必须</w:t>
      </w:r>
      <w:r>
        <w:rPr>
          <w:rFonts w:hint="eastAsia" w:ascii="FangSong_GB2312" w:hAnsi="FangSong_GB2312" w:eastAsia="FangSong_GB2312" w:cs="FangSong_GB2312"/>
          <w:sz w:val="24"/>
        </w:rPr>
        <w:t>填写身份证。法人，证件号码为统一社会信用代码。</w:t>
      </w:r>
    </w:p>
    <w:p>
      <w:pPr>
        <w:ind w:firstLine="480" w:firstLineChars="200"/>
        <w:rPr>
          <w:rFonts w:ascii="FangSong_GB2312" w:hAnsi="FangSong_GB2312" w:eastAsia="FangSong_GB2312" w:cs="FangSong_GB2312"/>
          <w:sz w:val="24"/>
        </w:rPr>
      </w:pPr>
      <w:r>
        <w:rPr>
          <w:rFonts w:ascii="FangSong_GB2312" w:hAnsi="FangSong_GB2312" w:eastAsia="FangSong_GB2312" w:cs="FangSong_GB2312"/>
          <w:sz w:val="24"/>
        </w:rPr>
        <w:t>5</w:t>
      </w:r>
      <w:r>
        <w:rPr>
          <w:rFonts w:hint="eastAsia" w:ascii="FangSong_GB2312" w:hAnsi="FangSong_GB2312" w:eastAsia="FangSong_GB2312" w:cs="FangSong_GB2312"/>
          <w:sz w:val="24"/>
        </w:rPr>
        <w:t>.初次登记日期格式为年-月-日。</w:t>
      </w:r>
    </w:p>
    <w:p>
      <w:pPr>
        <w:ind w:firstLine="480" w:firstLineChars="200"/>
        <w:rPr>
          <w:rFonts w:ascii="FangSong_GB2312" w:hAnsi="FangSong_GB2312" w:eastAsia="FangSong_GB2312" w:cs="FangSong_GB2312"/>
          <w:sz w:val="24"/>
        </w:rPr>
      </w:pPr>
      <w:r>
        <w:rPr>
          <w:rFonts w:hint="eastAsia" w:ascii="FangSong_GB2312" w:hAnsi="FangSong_GB2312" w:eastAsia="FangSong_GB2312" w:cs="FangSong_GB2312"/>
          <w:sz w:val="24"/>
        </w:rPr>
        <w:t>6.连续执业时间精确到月。</w:t>
      </w:r>
    </w:p>
    <w:p>
      <w:pPr>
        <w:ind w:firstLine="480" w:firstLineChars="200"/>
        <w:rPr>
          <w:rFonts w:ascii="FangSong_GB2312" w:hAnsi="FangSong_GB2312" w:eastAsia="FangSong_GB2312" w:cs="FangSong_GB2312"/>
          <w:sz w:val="24"/>
        </w:rPr>
      </w:pPr>
      <w:r>
        <w:rPr>
          <w:rFonts w:ascii="FangSong_GB2312" w:hAnsi="FangSong_GB2312" w:eastAsia="FangSong_GB2312" w:cs="FangSong_GB2312"/>
          <w:sz w:val="24"/>
        </w:rPr>
        <w:t>7</w:t>
      </w:r>
      <w:r>
        <w:rPr>
          <w:rFonts w:hint="eastAsia" w:ascii="FangSong_GB2312" w:hAnsi="FangSong_GB2312" w:eastAsia="FangSong_GB2312" w:cs="FangSong_GB2312"/>
          <w:sz w:val="24"/>
        </w:rPr>
        <w:t>.</w:t>
      </w:r>
      <w:r>
        <w:rPr>
          <w:rFonts w:hint="eastAsia"/>
        </w:rPr>
        <w:t xml:space="preserve"> </w:t>
      </w:r>
      <w:r>
        <w:rPr>
          <w:rFonts w:hint="eastAsia" w:ascii="FangSong_GB2312" w:hAnsi="FangSong_GB2312" w:eastAsia="FangSong_GB2312" w:cs="FangSong_GB2312"/>
          <w:sz w:val="24"/>
        </w:rPr>
        <w:t>不是资产评估师的，无需填写执业会员编号、初次登记日期、连续执业时间、在本机构连续执业时间、连续从事证券服务业务时间。</w:t>
      </w:r>
    </w:p>
    <w:p>
      <w:pPr>
        <w:ind w:firstLine="480" w:firstLineChars="200"/>
        <w:rPr>
          <w:rFonts w:ascii="FangSong_GB2312" w:hAnsi="FangSong_GB2312" w:eastAsia="FangSong_GB2312" w:cs="FangSong_GB2312"/>
          <w:sz w:val="24"/>
        </w:rPr>
      </w:pPr>
      <w:r>
        <w:rPr>
          <w:rFonts w:ascii="FangSong_GB2312" w:hAnsi="FangSong_GB2312" w:eastAsia="FangSong_GB2312" w:cs="FangSong_GB2312"/>
          <w:sz w:val="24"/>
        </w:rPr>
        <w:t>8</w:t>
      </w:r>
      <w:r>
        <w:rPr>
          <w:rFonts w:hint="eastAsia" w:ascii="FangSong_GB2312" w:hAnsi="FangSong_GB2312" w:eastAsia="FangSong_GB2312" w:cs="FangSong_GB2312"/>
          <w:sz w:val="24"/>
        </w:rPr>
        <w:t>.从事证券评估业务是指在证券评估业务报告</w:t>
      </w:r>
      <w:r>
        <w:rPr>
          <w:rFonts w:hint="eastAsia" w:ascii="FangSong_GB2312" w:hAnsi="FangSong_GB2312" w:eastAsia="FangSong_GB2312" w:cs="FangSong_GB2312"/>
          <w:sz w:val="24"/>
          <w:lang w:eastAsia="zh-CN"/>
        </w:rPr>
        <w:t>或者底稿</w:t>
      </w:r>
      <w:r>
        <w:rPr>
          <w:rFonts w:hint="eastAsia" w:ascii="FangSong_GB2312" w:hAnsi="FangSong_GB2312" w:eastAsia="FangSong_GB2312" w:cs="FangSong_GB2312"/>
          <w:sz w:val="24"/>
        </w:rPr>
        <w:t>中签名。</w:t>
      </w:r>
    </w:p>
    <w:p>
      <w:pPr>
        <w:ind w:firstLine="480" w:firstLineChars="200"/>
        <w:rPr>
          <w:rFonts w:ascii="FangSong_GB2312" w:hAnsi="FangSong_GB2312" w:eastAsia="FangSong_GB2312" w:cs="FangSong_GB2312"/>
          <w:sz w:val="24"/>
        </w:rPr>
      </w:pPr>
      <w:r>
        <w:rPr>
          <w:rFonts w:ascii="FangSong_GB2312" w:hAnsi="FangSong_GB2312" w:eastAsia="FangSong_GB2312" w:cs="FangSong_GB2312"/>
          <w:sz w:val="24"/>
        </w:rPr>
        <w:t>9</w:t>
      </w:r>
      <w:r>
        <w:rPr>
          <w:rFonts w:hint="eastAsia" w:ascii="FangSong_GB2312" w:hAnsi="FangSong_GB2312" w:eastAsia="FangSong_GB2312" w:cs="FangSong_GB2312"/>
          <w:sz w:val="24"/>
        </w:rPr>
        <w:t>.质量控制负责</w:t>
      </w:r>
      <w:r>
        <w:rPr>
          <w:rFonts w:ascii="FangSong_GB2312" w:hAnsi="FangSong_GB2312" w:eastAsia="FangSong_GB2312" w:cs="FangSong_GB2312"/>
          <w:sz w:val="24"/>
        </w:rPr>
        <w:t>人是指资产评估机构质量</w:t>
      </w:r>
      <w:r>
        <w:rPr>
          <w:rFonts w:hint="eastAsia" w:ascii="FangSong_GB2312" w:hAnsi="FangSong_GB2312" w:eastAsia="FangSong_GB2312" w:cs="FangSong_GB2312"/>
          <w:sz w:val="24"/>
        </w:rPr>
        <w:t>控制</w:t>
      </w:r>
      <w:r>
        <w:rPr>
          <w:rFonts w:ascii="FangSong_GB2312" w:hAnsi="FangSong_GB2312" w:eastAsia="FangSong_GB2312" w:cs="FangSong_GB2312"/>
          <w:sz w:val="24"/>
        </w:rPr>
        <w:t>部门</w:t>
      </w:r>
      <w:r>
        <w:rPr>
          <w:rFonts w:hint="eastAsia" w:ascii="FangSong_GB2312" w:hAnsi="FangSong_GB2312" w:eastAsia="FangSong_GB2312" w:cs="FangSong_GB2312"/>
          <w:sz w:val="24"/>
        </w:rPr>
        <w:t>负责人</w:t>
      </w:r>
      <w:r>
        <w:rPr>
          <w:rFonts w:ascii="FangSong_GB2312" w:hAnsi="FangSong_GB2312" w:eastAsia="FangSong_GB2312" w:cs="FangSong_GB2312"/>
          <w:sz w:val="24"/>
        </w:rPr>
        <w:t>或者</w:t>
      </w:r>
      <w:r>
        <w:rPr>
          <w:rFonts w:hint="eastAsia" w:ascii="FangSong_GB2312" w:hAnsi="FangSong_GB2312" w:eastAsia="FangSong_GB2312" w:cs="FangSong_GB2312"/>
          <w:sz w:val="24"/>
        </w:rPr>
        <w:t>负责执业质量控制的股东（合伙人）。</w:t>
      </w:r>
    </w:p>
    <w:p>
      <w:pPr>
        <w:ind w:firstLine="480" w:firstLineChars="200"/>
        <w:rPr>
          <w:rFonts w:ascii="FangSong_GB2312" w:hAnsi="FangSong_GB2312" w:eastAsia="FangSong_GB2312" w:cs="FangSong_GB2312"/>
          <w:sz w:val="24"/>
        </w:rPr>
      </w:pPr>
      <w:r>
        <w:rPr>
          <w:rFonts w:hint="eastAsia" w:ascii="FangSong_GB2312" w:hAnsi="FangSong_GB2312" w:eastAsia="FangSong_GB2312" w:cs="FangSong_GB2312"/>
          <w:sz w:val="24"/>
        </w:rPr>
        <w:t>10.持股比例需带％并保留小数点后两位，比如</w:t>
      </w:r>
      <w:r>
        <w:rPr>
          <w:rFonts w:ascii="FangSong_GB2312" w:hAnsi="FangSong_GB2312" w:eastAsia="FangSong_GB2312" w:cs="FangSong_GB2312"/>
          <w:sz w:val="24"/>
        </w:rPr>
        <w:t>52.35％</w:t>
      </w:r>
      <w:r>
        <w:rPr>
          <w:rFonts w:hint="eastAsia" w:ascii="FangSong_GB2312" w:hAnsi="FangSong_GB2312" w:eastAsia="FangSong_GB2312" w:cs="FangSong_GB2312"/>
          <w:sz w:val="24"/>
        </w:rPr>
        <w:t>。</w:t>
      </w:r>
    </w:p>
    <w:p>
      <w:pPr>
        <w:ind w:firstLine="480" w:firstLineChars="200"/>
        <w:rPr>
          <w:rFonts w:ascii="FangSong_GB2312" w:hAnsi="FangSong_GB2312" w:eastAsia="FangSong_GB2312" w:cs="FangSong_GB2312"/>
          <w:sz w:val="24"/>
        </w:rPr>
        <w:sectPr>
          <w:footerReference r:id="rId4" w:type="default"/>
          <w:pgSz w:w="16838" w:h="11906" w:orient="landscape"/>
          <w:pgMar w:top="1417" w:right="1440" w:bottom="1417" w:left="1440" w:header="851" w:footer="992" w:gutter="0"/>
          <w:cols w:space="0" w:num="1"/>
          <w:docGrid w:type="lines" w:linePitch="324" w:charSpace="0"/>
        </w:sectPr>
      </w:pPr>
      <w:r>
        <w:rPr>
          <w:rFonts w:hint="eastAsia" w:ascii="FangSong_GB2312" w:hAnsi="FangSong_GB2312" w:eastAsia="FangSong_GB2312" w:cs="FangSong_GB2312"/>
          <w:sz w:val="24"/>
        </w:rPr>
        <w:t>11.专职在本机构工作是指当事人与本机构签订唯一的劳动合同、由本机构缴纳社保、在本机构取得工资性收入。</w:t>
      </w:r>
    </w:p>
    <w:p>
      <w:pPr>
        <w:spacing w:line="360" w:lineRule="auto"/>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附5：</w:t>
      </w:r>
    </w:p>
    <w:p>
      <w:pPr>
        <w:jc w:val="cente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资产评估机构及其执业人员处罚处理情况表</w:t>
      </w:r>
    </w:p>
    <w:p>
      <w:pPr>
        <w:pStyle w:val="23"/>
        <w:tabs>
          <w:tab w:val="left" w:pos="10280"/>
          <w:tab w:val="left" w:pos="10310"/>
        </w:tabs>
        <w:spacing w:after="0"/>
        <w:ind w:firstLine="360" w:firstLineChars="150"/>
        <w:rPr>
          <w:rFonts w:ascii="FangSong_GB2312" w:hAnsi="FangSong_GB2312" w:eastAsia="FangSong_GB2312" w:cs="FangSong_GB2312"/>
          <w:bCs/>
          <w:color w:val="auto"/>
          <w:sz w:val="24"/>
          <w:lang w:val="en-US" w:eastAsia="zh-CN" w:bidi="ar-SA"/>
        </w:rPr>
      </w:pPr>
      <w:r>
        <w:rPr>
          <w:rFonts w:hint="eastAsia" w:ascii="FangSong_GB2312" w:hAnsi="FangSong_GB2312" w:eastAsia="FangSong_GB2312" w:cs="FangSong_GB2312"/>
          <w:bCs/>
          <w:color w:val="auto"/>
          <w:sz w:val="24"/>
          <w:lang w:val="en-US" w:eastAsia="zh-CN" w:bidi="ar-SA"/>
        </w:rPr>
        <w:t>资产评估机构名称（盖章）：</w:t>
      </w:r>
      <w:r>
        <w:rPr>
          <w:rFonts w:hint="eastAsia" w:ascii="FangSong_GB2312" w:hAnsi="FangSong_GB2312" w:eastAsia="FangSong_GB2312" w:cs="FangSong_GB2312"/>
          <w:bCs/>
          <w:color w:val="auto"/>
          <w:sz w:val="24"/>
          <w:lang w:val="en-US" w:eastAsia="zh-CN" w:bidi="ar-SA"/>
        </w:rPr>
        <w:tab/>
      </w:r>
      <w:r>
        <w:rPr>
          <w:rFonts w:hint="eastAsia" w:ascii="FangSong_GB2312" w:hAnsi="FangSong_GB2312" w:eastAsia="FangSong_GB2312" w:cs="FangSong_GB2312"/>
          <w:bCs/>
          <w:color w:val="auto"/>
          <w:sz w:val="24"/>
          <w:lang w:val="en-US" w:eastAsia="zh-CN" w:bidi="ar-SA"/>
        </w:rPr>
        <w:t>填报日期：    年    月    日</w:t>
      </w:r>
    </w:p>
    <w:tbl>
      <w:tblPr>
        <w:tblStyle w:val="11"/>
        <w:tblW w:w="13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001"/>
        <w:gridCol w:w="1148"/>
        <w:gridCol w:w="1148"/>
        <w:gridCol w:w="1290"/>
        <w:gridCol w:w="1005"/>
        <w:gridCol w:w="1179"/>
        <w:gridCol w:w="1425"/>
        <w:gridCol w:w="1335"/>
        <w:gridCol w:w="960"/>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209" w:hRule="exact"/>
          <w:jc w:val="center"/>
        </w:trPr>
        <w:tc>
          <w:tcPr>
            <w:tcW w:w="1001"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序 号</w:t>
            </w:r>
          </w:p>
        </w:tc>
        <w:tc>
          <w:tcPr>
            <w:tcW w:w="1148"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处罚处理对象</w:t>
            </w:r>
          </w:p>
        </w:tc>
        <w:tc>
          <w:tcPr>
            <w:tcW w:w="1148"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证件</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类型</w:t>
            </w:r>
          </w:p>
        </w:tc>
        <w:tc>
          <w:tcPr>
            <w:tcW w:w="1290"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证件</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号码</w:t>
            </w:r>
          </w:p>
        </w:tc>
        <w:tc>
          <w:tcPr>
            <w:tcW w:w="1005"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处罚处理类型</w:t>
            </w:r>
          </w:p>
        </w:tc>
        <w:tc>
          <w:tcPr>
            <w:tcW w:w="1179"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处罚处理决定文号</w:t>
            </w:r>
          </w:p>
        </w:tc>
        <w:tc>
          <w:tcPr>
            <w:tcW w:w="1425"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处罚处理决定名称</w:t>
            </w:r>
          </w:p>
        </w:tc>
        <w:tc>
          <w:tcPr>
            <w:tcW w:w="1335"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机关</w:t>
            </w:r>
          </w:p>
        </w:tc>
        <w:tc>
          <w:tcPr>
            <w:tcW w:w="960"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处罚处理日期</w:t>
            </w:r>
          </w:p>
        </w:tc>
        <w:tc>
          <w:tcPr>
            <w:tcW w:w="2795" w:type="dxa"/>
            <w:shd w:val="clear" w:color="auto" w:fill="auto"/>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处罚处理事由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7" w:hRule="exact"/>
          <w:jc w:val="center"/>
        </w:trPr>
        <w:tc>
          <w:tcPr>
            <w:tcW w:w="1001"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jc w:val="center"/>
              <w:rPr>
                <w:rFonts w:ascii="FangSong" w:hAnsi="FangSong" w:eastAsia="FangSong"/>
                <w:sz w:val="23"/>
                <w:szCs w:val="23"/>
              </w:rPr>
            </w:pPr>
          </w:p>
        </w:tc>
        <w:tc>
          <w:tcPr>
            <w:tcW w:w="1290" w:type="dxa"/>
            <w:shd w:val="clear" w:color="auto" w:fill="auto"/>
            <w:vAlign w:val="center"/>
          </w:tcPr>
          <w:p>
            <w:pPr>
              <w:pStyle w:val="24"/>
              <w:spacing w:line="322" w:lineRule="exact"/>
              <w:jc w:val="center"/>
              <w:rPr>
                <w:rFonts w:ascii="FangSong" w:hAnsi="FangSong" w:eastAsia="FangSong"/>
                <w:sz w:val="23"/>
                <w:szCs w:val="23"/>
              </w:rPr>
            </w:pPr>
          </w:p>
        </w:tc>
        <w:tc>
          <w:tcPr>
            <w:tcW w:w="1005" w:type="dxa"/>
            <w:shd w:val="clear" w:color="auto" w:fill="auto"/>
            <w:vAlign w:val="center"/>
          </w:tcPr>
          <w:p>
            <w:pPr>
              <w:pStyle w:val="24"/>
              <w:spacing w:line="322" w:lineRule="exact"/>
              <w:jc w:val="center"/>
              <w:rPr>
                <w:rFonts w:ascii="FangSong" w:hAnsi="FangSong" w:eastAsia="FangSong"/>
                <w:sz w:val="23"/>
                <w:szCs w:val="23"/>
              </w:rPr>
            </w:pPr>
          </w:p>
        </w:tc>
        <w:tc>
          <w:tcPr>
            <w:tcW w:w="1179" w:type="dxa"/>
            <w:shd w:val="clear" w:color="auto" w:fill="auto"/>
            <w:vAlign w:val="center"/>
          </w:tcPr>
          <w:p>
            <w:pPr>
              <w:pStyle w:val="24"/>
              <w:spacing w:line="336" w:lineRule="exact"/>
              <w:jc w:val="center"/>
              <w:rPr>
                <w:rFonts w:ascii="FangSong" w:hAnsi="FangSong" w:eastAsia="FangSong"/>
                <w:sz w:val="23"/>
                <w:szCs w:val="23"/>
                <w:lang w:eastAsia="zh-CN"/>
              </w:rPr>
            </w:pPr>
          </w:p>
        </w:tc>
        <w:tc>
          <w:tcPr>
            <w:tcW w:w="1425" w:type="dxa"/>
            <w:shd w:val="clear" w:color="auto" w:fill="auto"/>
            <w:vAlign w:val="center"/>
          </w:tcPr>
          <w:p>
            <w:pPr>
              <w:pStyle w:val="24"/>
              <w:spacing w:line="324" w:lineRule="exact"/>
              <w:jc w:val="center"/>
              <w:rPr>
                <w:rFonts w:ascii="FangSong" w:hAnsi="FangSong" w:eastAsia="FangSong"/>
                <w:sz w:val="23"/>
                <w:szCs w:val="23"/>
                <w:lang w:eastAsia="zh-CN"/>
              </w:rPr>
            </w:pPr>
          </w:p>
        </w:tc>
        <w:tc>
          <w:tcPr>
            <w:tcW w:w="1335" w:type="dxa"/>
            <w:shd w:val="clear" w:color="auto" w:fill="auto"/>
            <w:vAlign w:val="center"/>
          </w:tcPr>
          <w:p>
            <w:pPr>
              <w:pStyle w:val="24"/>
              <w:jc w:val="center"/>
              <w:rPr>
                <w:rFonts w:ascii="FangSong" w:hAnsi="FangSong" w:eastAsia="FangSong"/>
                <w:sz w:val="23"/>
                <w:szCs w:val="23"/>
                <w:lang w:eastAsia="zh-CN"/>
              </w:rPr>
            </w:pPr>
          </w:p>
        </w:tc>
        <w:tc>
          <w:tcPr>
            <w:tcW w:w="960" w:type="dxa"/>
            <w:shd w:val="clear" w:color="auto" w:fill="auto"/>
            <w:vAlign w:val="center"/>
          </w:tcPr>
          <w:p>
            <w:pPr>
              <w:pStyle w:val="24"/>
              <w:jc w:val="center"/>
              <w:rPr>
                <w:rFonts w:ascii="FangSong" w:hAnsi="FangSong" w:eastAsia="FangSong"/>
                <w:sz w:val="23"/>
                <w:szCs w:val="23"/>
                <w:lang w:eastAsia="zh-CN"/>
              </w:rPr>
            </w:pPr>
          </w:p>
        </w:tc>
        <w:tc>
          <w:tcPr>
            <w:tcW w:w="2795" w:type="dxa"/>
            <w:shd w:val="clear" w:color="auto" w:fill="auto"/>
            <w:vAlign w:val="center"/>
          </w:tcPr>
          <w:p>
            <w:pPr>
              <w:pStyle w:val="24"/>
              <w:jc w:val="center"/>
              <w:rPr>
                <w:rFonts w:ascii="FangSong" w:hAnsi="FangSong" w:eastAsia="FangSong"/>
                <w:sz w:val="23"/>
                <w:szCs w:val="23"/>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7" w:hRule="exact"/>
          <w:jc w:val="center"/>
        </w:trPr>
        <w:tc>
          <w:tcPr>
            <w:tcW w:w="1001"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jc w:val="center"/>
              <w:rPr>
                <w:rFonts w:ascii="FangSong" w:hAnsi="FangSong" w:eastAsia="FangSong"/>
                <w:sz w:val="23"/>
                <w:szCs w:val="23"/>
              </w:rPr>
            </w:pPr>
          </w:p>
        </w:tc>
        <w:tc>
          <w:tcPr>
            <w:tcW w:w="1290" w:type="dxa"/>
            <w:shd w:val="clear" w:color="auto" w:fill="auto"/>
            <w:vAlign w:val="center"/>
          </w:tcPr>
          <w:p>
            <w:pPr>
              <w:pStyle w:val="24"/>
              <w:spacing w:line="322" w:lineRule="exact"/>
              <w:jc w:val="center"/>
              <w:rPr>
                <w:rFonts w:ascii="FangSong" w:hAnsi="FangSong" w:eastAsia="FangSong"/>
                <w:sz w:val="23"/>
                <w:szCs w:val="23"/>
              </w:rPr>
            </w:pPr>
          </w:p>
        </w:tc>
        <w:tc>
          <w:tcPr>
            <w:tcW w:w="1005" w:type="dxa"/>
            <w:shd w:val="clear" w:color="auto" w:fill="auto"/>
            <w:vAlign w:val="center"/>
          </w:tcPr>
          <w:p>
            <w:pPr>
              <w:pStyle w:val="24"/>
              <w:spacing w:line="322" w:lineRule="exact"/>
              <w:jc w:val="center"/>
              <w:rPr>
                <w:rFonts w:ascii="FangSong" w:hAnsi="FangSong" w:eastAsia="FangSong"/>
                <w:sz w:val="23"/>
                <w:szCs w:val="23"/>
              </w:rPr>
            </w:pPr>
          </w:p>
        </w:tc>
        <w:tc>
          <w:tcPr>
            <w:tcW w:w="1179" w:type="dxa"/>
            <w:shd w:val="clear" w:color="auto" w:fill="auto"/>
            <w:vAlign w:val="center"/>
          </w:tcPr>
          <w:p>
            <w:pPr>
              <w:pStyle w:val="24"/>
              <w:spacing w:line="336" w:lineRule="exact"/>
              <w:jc w:val="center"/>
              <w:rPr>
                <w:rFonts w:ascii="FangSong" w:hAnsi="FangSong" w:eastAsia="FangSong"/>
                <w:sz w:val="23"/>
                <w:szCs w:val="23"/>
                <w:lang w:eastAsia="zh-CN"/>
              </w:rPr>
            </w:pPr>
          </w:p>
        </w:tc>
        <w:tc>
          <w:tcPr>
            <w:tcW w:w="1425" w:type="dxa"/>
            <w:shd w:val="clear" w:color="auto" w:fill="auto"/>
            <w:vAlign w:val="center"/>
          </w:tcPr>
          <w:p>
            <w:pPr>
              <w:pStyle w:val="24"/>
              <w:spacing w:line="324" w:lineRule="exact"/>
              <w:jc w:val="center"/>
              <w:rPr>
                <w:rFonts w:ascii="FangSong" w:hAnsi="FangSong" w:eastAsia="FangSong"/>
                <w:sz w:val="23"/>
                <w:szCs w:val="23"/>
                <w:lang w:eastAsia="zh-CN"/>
              </w:rPr>
            </w:pPr>
          </w:p>
        </w:tc>
        <w:tc>
          <w:tcPr>
            <w:tcW w:w="1335" w:type="dxa"/>
            <w:shd w:val="clear" w:color="auto" w:fill="auto"/>
            <w:vAlign w:val="center"/>
          </w:tcPr>
          <w:p>
            <w:pPr>
              <w:pStyle w:val="24"/>
              <w:jc w:val="center"/>
              <w:rPr>
                <w:rFonts w:ascii="FangSong" w:hAnsi="FangSong" w:eastAsia="FangSong"/>
                <w:sz w:val="23"/>
                <w:szCs w:val="23"/>
                <w:lang w:eastAsia="zh-CN"/>
              </w:rPr>
            </w:pPr>
          </w:p>
        </w:tc>
        <w:tc>
          <w:tcPr>
            <w:tcW w:w="960" w:type="dxa"/>
            <w:shd w:val="clear" w:color="auto" w:fill="auto"/>
            <w:vAlign w:val="center"/>
          </w:tcPr>
          <w:p>
            <w:pPr>
              <w:pStyle w:val="24"/>
              <w:jc w:val="center"/>
              <w:rPr>
                <w:rFonts w:ascii="FangSong" w:hAnsi="FangSong" w:eastAsia="FangSong"/>
                <w:sz w:val="23"/>
                <w:szCs w:val="23"/>
                <w:lang w:eastAsia="zh-CN"/>
              </w:rPr>
            </w:pPr>
          </w:p>
        </w:tc>
        <w:tc>
          <w:tcPr>
            <w:tcW w:w="2795" w:type="dxa"/>
            <w:shd w:val="clear" w:color="auto" w:fill="auto"/>
            <w:vAlign w:val="center"/>
          </w:tcPr>
          <w:p>
            <w:pPr>
              <w:pStyle w:val="24"/>
              <w:jc w:val="center"/>
              <w:rPr>
                <w:rFonts w:ascii="FangSong" w:hAnsi="FangSong" w:eastAsia="FangSong"/>
                <w:sz w:val="23"/>
                <w:szCs w:val="23"/>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7" w:hRule="exact"/>
          <w:jc w:val="center"/>
        </w:trPr>
        <w:tc>
          <w:tcPr>
            <w:tcW w:w="1001"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jc w:val="center"/>
              <w:rPr>
                <w:rFonts w:ascii="FangSong" w:hAnsi="FangSong" w:eastAsia="FangSong"/>
                <w:sz w:val="23"/>
                <w:szCs w:val="23"/>
              </w:rPr>
            </w:pPr>
          </w:p>
        </w:tc>
        <w:tc>
          <w:tcPr>
            <w:tcW w:w="1290" w:type="dxa"/>
            <w:shd w:val="clear" w:color="auto" w:fill="auto"/>
            <w:vAlign w:val="center"/>
          </w:tcPr>
          <w:p>
            <w:pPr>
              <w:pStyle w:val="24"/>
              <w:spacing w:line="322" w:lineRule="exact"/>
              <w:jc w:val="center"/>
              <w:rPr>
                <w:rFonts w:ascii="FangSong" w:hAnsi="FangSong" w:eastAsia="FangSong"/>
                <w:sz w:val="23"/>
                <w:szCs w:val="23"/>
              </w:rPr>
            </w:pPr>
          </w:p>
        </w:tc>
        <w:tc>
          <w:tcPr>
            <w:tcW w:w="1005" w:type="dxa"/>
            <w:shd w:val="clear" w:color="auto" w:fill="auto"/>
            <w:vAlign w:val="center"/>
          </w:tcPr>
          <w:p>
            <w:pPr>
              <w:pStyle w:val="24"/>
              <w:spacing w:line="322" w:lineRule="exact"/>
              <w:jc w:val="center"/>
              <w:rPr>
                <w:rFonts w:ascii="FangSong" w:hAnsi="FangSong" w:eastAsia="FangSong"/>
                <w:sz w:val="23"/>
                <w:szCs w:val="23"/>
              </w:rPr>
            </w:pPr>
          </w:p>
        </w:tc>
        <w:tc>
          <w:tcPr>
            <w:tcW w:w="1179" w:type="dxa"/>
            <w:shd w:val="clear" w:color="auto" w:fill="auto"/>
            <w:vAlign w:val="center"/>
          </w:tcPr>
          <w:p>
            <w:pPr>
              <w:pStyle w:val="24"/>
              <w:spacing w:line="336" w:lineRule="exact"/>
              <w:jc w:val="center"/>
              <w:rPr>
                <w:rFonts w:ascii="FangSong" w:hAnsi="FangSong" w:eastAsia="FangSong"/>
                <w:sz w:val="23"/>
                <w:szCs w:val="23"/>
                <w:lang w:eastAsia="zh-CN"/>
              </w:rPr>
            </w:pPr>
          </w:p>
        </w:tc>
        <w:tc>
          <w:tcPr>
            <w:tcW w:w="1425" w:type="dxa"/>
            <w:shd w:val="clear" w:color="auto" w:fill="auto"/>
            <w:vAlign w:val="center"/>
          </w:tcPr>
          <w:p>
            <w:pPr>
              <w:pStyle w:val="24"/>
              <w:spacing w:line="324" w:lineRule="exact"/>
              <w:jc w:val="center"/>
              <w:rPr>
                <w:rFonts w:ascii="FangSong" w:hAnsi="FangSong" w:eastAsia="FangSong"/>
                <w:sz w:val="23"/>
                <w:szCs w:val="23"/>
                <w:lang w:eastAsia="zh-CN"/>
              </w:rPr>
            </w:pPr>
          </w:p>
        </w:tc>
        <w:tc>
          <w:tcPr>
            <w:tcW w:w="1335" w:type="dxa"/>
            <w:shd w:val="clear" w:color="auto" w:fill="auto"/>
            <w:vAlign w:val="center"/>
          </w:tcPr>
          <w:p>
            <w:pPr>
              <w:pStyle w:val="24"/>
              <w:jc w:val="center"/>
              <w:rPr>
                <w:rFonts w:ascii="FangSong" w:hAnsi="FangSong" w:eastAsia="FangSong"/>
                <w:sz w:val="23"/>
                <w:szCs w:val="23"/>
                <w:lang w:eastAsia="zh-CN"/>
              </w:rPr>
            </w:pPr>
          </w:p>
        </w:tc>
        <w:tc>
          <w:tcPr>
            <w:tcW w:w="960" w:type="dxa"/>
            <w:shd w:val="clear" w:color="auto" w:fill="auto"/>
            <w:vAlign w:val="center"/>
          </w:tcPr>
          <w:p>
            <w:pPr>
              <w:pStyle w:val="24"/>
              <w:jc w:val="center"/>
              <w:rPr>
                <w:rFonts w:ascii="FangSong" w:hAnsi="FangSong" w:eastAsia="FangSong"/>
                <w:sz w:val="23"/>
                <w:szCs w:val="23"/>
                <w:lang w:eastAsia="zh-CN"/>
              </w:rPr>
            </w:pPr>
          </w:p>
        </w:tc>
        <w:tc>
          <w:tcPr>
            <w:tcW w:w="2795" w:type="dxa"/>
            <w:shd w:val="clear" w:color="auto" w:fill="auto"/>
            <w:vAlign w:val="center"/>
          </w:tcPr>
          <w:p>
            <w:pPr>
              <w:pStyle w:val="24"/>
              <w:jc w:val="center"/>
              <w:rPr>
                <w:rFonts w:ascii="FangSong" w:hAnsi="FangSong" w:eastAsia="FangSong"/>
                <w:sz w:val="23"/>
                <w:szCs w:val="23"/>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7" w:hRule="exact"/>
          <w:jc w:val="center"/>
        </w:trPr>
        <w:tc>
          <w:tcPr>
            <w:tcW w:w="1001"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jc w:val="center"/>
              <w:rPr>
                <w:rFonts w:ascii="FangSong" w:hAnsi="FangSong" w:eastAsia="FangSong"/>
                <w:sz w:val="23"/>
                <w:szCs w:val="23"/>
              </w:rPr>
            </w:pPr>
          </w:p>
        </w:tc>
        <w:tc>
          <w:tcPr>
            <w:tcW w:w="1290" w:type="dxa"/>
            <w:shd w:val="clear" w:color="auto" w:fill="auto"/>
            <w:vAlign w:val="center"/>
          </w:tcPr>
          <w:p>
            <w:pPr>
              <w:pStyle w:val="24"/>
              <w:spacing w:line="322" w:lineRule="exact"/>
              <w:jc w:val="center"/>
              <w:rPr>
                <w:rFonts w:ascii="FangSong" w:hAnsi="FangSong" w:eastAsia="FangSong"/>
                <w:sz w:val="23"/>
                <w:szCs w:val="23"/>
              </w:rPr>
            </w:pPr>
          </w:p>
        </w:tc>
        <w:tc>
          <w:tcPr>
            <w:tcW w:w="1005" w:type="dxa"/>
            <w:shd w:val="clear" w:color="auto" w:fill="auto"/>
            <w:vAlign w:val="center"/>
          </w:tcPr>
          <w:p>
            <w:pPr>
              <w:pStyle w:val="24"/>
              <w:spacing w:line="322" w:lineRule="exact"/>
              <w:jc w:val="center"/>
              <w:rPr>
                <w:rFonts w:ascii="FangSong" w:hAnsi="FangSong" w:eastAsia="FangSong"/>
                <w:sz w:val="23"/>
                <w:szCs w:val="23"/>
              </w:rPr>
            </w:pPr>
          </w:p>
        </w:tc>
        <w:tc>
          <w:tcPr>
            <w:tcW w:w="1179" w:type="dxa"/>
            <w:shd w:val="clear" w:color="auto" w:fill="auto"/>
            <w:vAlign w:val="center"/>
          </w:tcPr>
          <w:p>
            <w:pPr>
              <w:pStyle w:val="24"/>
              <w:spacing w:line="336" w:lineRule="exact"/>
              <w:jc w:val="center"/>
              <w:rPr>
                <w:rFonts w:ascii="FangSong" w:hAnsi="FangSong" w:eastAsia="FangSong"/>
                <w:sz w:val="23"/>
                <w:szCs w:val="23"/>
                <w:lang w:eastAsia="zh-CN"/>
              </w:rPr>
            </w:pPr>
          </w:p>
        </w:tc>
        <w:tc>
          <w:tcPr>
            <w:tcW w:w="1425" w:type="dxa"/>
            <w:shd w:val="clear" w:color="auto" w:fill="auto"/>
            <w:vAlign w:val="center"/>
          </w:tcPr>
          <w:p>
            <w:pPr>
              <w:pStyle w:val="24"/>
              <w:spacing w:line="324" w:lineRule="exact"/>
              <w:jc w:val="center"/>
              <w:rPr>
                <w:rFonts w:ascii="FangSong" w:hAnsi="FangSong" w:eastAsia="FangSong"/>
                <w:sz w:val="23"/>
                <w:szCs w:val="23"/>
                <w:lang w:eastAsia="zh-CN"/>
              </w:rPr>
            </w:pPr>
          </w:p>
        </w:tc>
        <w:tc>
          <w:tcPr>
            <w:tcW w:w="1335" w:type="dxa"/>
            <w:shd w:val="clear" w:color="auto" w:fill="auto"/>
            <w:vAlign w:val="center"/>
          </w:tcPr>
          <w:p>
            <w:pPr>
              <w:pStyle w:val="24"/>
              <w:jc w:val="center"/>
              <w:rPr>
                <w:rFonts w:ascii="FangSong" w:hAnsi="FangSong" w:eastAsia="FangSong"/>
                <w:sz w:val="23"/>
                <w:szCs w:val="23"/>
                <w:lang w:eastAsia="zh-CN"/>
              </w:rPr>
            </w:pPr>
          </w:p>
        </w:tc>
        <w:tc>
          <w:tcPr>
            <w:tcW w:w="960" w:type="dxa"/>
            <w:shd w:val="clear" w:color="auto" w:fill="auto"/>
            <w:vAlign w:val="center"/>
          </w:tcPr>
          <w:p>
            <w:pPr>
              <w:pStyle w:val="24"/>
              <w:jc w:val="center"/>
              <w:rPr>
                <w:rFonts w:ascii="FangSong" w:hAnsi="FangSong" w:eastAsia="FangSong"/>
                <w:sz w:val="23"/>
                <w:szCs w:val="23"/>
                <w:lang w:eastAsia="zh-CN"/>
              </w:rPr>
            </w:pPr>
          </w:p>
        </w:tc>
        <w:tc>
          <w:tcPr>
            <w:tcW w:w="2795" w:type="dxa"/>
            <w:shd w:val="clear" w:color="auto" w:fill="auto"/>
            <w:vAlign w:val="center"/>
          </w:tcPr>
          <w:p>
            <w:pPr>
              <w:pStyle w:val="24"/>
              <w:jc w:val="center"/>
              <w:rPr>
                <w:rFonts w:ascii="FangSong" w:hAnsi="FangSong" w:eastAsia="FangSong"/>
                <w:sz w:val="23"/>
                <w:szCs w:val="23"/>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97" w:hRule="exact"/>
          <w:jc w:val="center"/>
        </w:trPr>
        <w:tc>
          <w:tcPr>
            <w:tcW w:w="1001"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spacing w:line="326" w:lineRule="exact"/>
              <w:jc w:val="center"/>
              <w:rPr>
                <w:rFonts w:ascii="FangSong" w:hAnsi="FangSong" w:eastAsia="FangSong"/>
                <w:sz w:val="23"/>
                <w:szCs w:val="23"/>
              </w:rPr>
            </w:pPr>
          </w:p>
        </w:tc>
        <w:tc>
          <w:tcPr>
            <w:tcW w:w="1148" w:type="dxa"/>
            <w:shd w:val="clear" w:color="auto" w:fill="auto"/>
            <w:vAlign w:val="center"/>
          </w:tcPr>
          <w:p>
            <w:pPr>
              <w:pStyle w:val="24"/>
              <w:jc w:val="center"/>
              <w:rPr>
                <w:rFonts w:ascii="FangSong" w:hAnsi="FangSong" w:eastAsia="FangSong"/>
                <w:sz w:val="23"/>
                <w:szCs w:val="23"/>
              </w:rPr>
            </w:pPr>
          </w:p>
        </w:tc>
        <w:tc>
          <w:tcPr>
            <w:tcW w:w="1290" w:type="dxa"/>
            <w:shd w:val="clear" w:color="auto" w:fill="auto"/>
            <w:vAlign w:val="center"/>
          </w:tcPr>
          <w:p>
            <w:pPr>
              <w:pStyle w:val="24"/>
              <w:spacing w:line="322" w:lineRule="exact"/>
              <w:jc w:val="center"/>
              <w:rPr>
                <w:rFonts w:ascii="FangSong" w:hAnsi="FangSong" w:eastAsia="FangSong"/>
                <w:sz w:val="23"/>
                <w:szCs w:val="23"/>
              </w:rPr>
            </w:pPr>
          </w:p>
        </w:tc>
        <w:tc>
          <w:tcPr>
            <w:tcW w:w="1005" w:type="dxa"/>
            <w:shd w:val="clear" w:color="auto" w:fill="auto"/>
            <w:vAlign w:val="center"/>
          </w:tcPr>
          <w:p>
            <w:pPr>
              <w:pStyle w:val="24"/>
              <w:spacing w:line="322" w:lineRule="exact"/>
              <w:jc w:val="center"/>
              <w:rPr>
                <w:rFonts w:ascii="FangSong" w:hAnsi="FangSong" w:eastAsia="FangSong"/>
                <w:sz w:val="23"/>
                <w:szCs w:val="23"/>
              </w:rPr>
            </w:pPr>
          </w:p>
        </w:tc>
        <w:tc>
          <w:tcPr>
            <w:tcW w:w="1179" w:type="dxa"/>
            <w:shd w:val="clear" w:color="auto" w:fill="auto"/>
            <w:vAlign w:val="center"/>
          </w:tcPr>
          <w:p>
            <w:pPr>
              <w:pStyle w:val="24"/>
              <w:spacing w:line="336" w:lineRule="exact"/>
              <w:jc w:val="center"/>
              <w:rPr>
                <w:rFonts w:ascii="FangSong" w:hAnsi="FangSong" w:eastAsia="FangSong"/>
                <w:sz w:val="23"/>
                <w:szCs w:val="23"/>
                <w:lang w:eastAsia="zh-CN"/>
              </w:rPr>
            </w:pPr>
          </w:p>
        </w:tc>
        <w:tc>
          <w:tcPr>
            <w:tcW w:w="1425" w:type="dxa"/>
            <w:shd w:val="clear" w:color="auto" w:fill="auto"/>
            <w:vAlign w:val="center"/>
          </w:tcPr>
          <w:p>
            <w:pPr>
              <w:pStyle w:val="24"/>
              <w:spacing w:line="324" w:lineRule="exact"/>
              <w:jc w:val="center"/>
              <w:rPr>
                <w:rFonts w:ascii="FangSong" w:hAnsi="FangSong" w:eastAsia="FangSong"/>
                <w:sz w:val="23"/>
                <w:szCs w:val="23"/>
                <w:lang w:eastAsia="zh-CN"/>
              </w:rPr>
            </w:pPr>
          </w:p>
        </w:tc>
        <w:tc>
          <w:tcPr>
            <w:tcW w:w="1335" w:type="dxa"/>
            <w:shd w:val="clear" w:color="auto" w:fill="auto"/>
            <w:vAlign w:val="center"/>
          </w:tcPr>
          <w:p>
            <w:pPr>
              <w:pStyle w:val="24"/>
              <w:jc w:val="center"/>
              <w:rPr>
                <w:rFonts w:ascii="FangSong" w:hAnsi="FangSong" w:eastAsia="FangSong"/>
                <w:sz w:val="23"/>
                <w:szCs w:val="23"/>
                <w:lang w:eastAsia="zh-CN"/>
              </w:rPr>
            </w:pPr>
          </w:p>
        </w:tc>
        <w:tc>
          <w:tcPr>
            <w:tcW w:w="960" w:type="dxa"/>
            <w:shd w:val="clear" w:color="auto" w:fill="auto"/>
            <w:vAlign w:val="center"/>
          </w:tcPr>
          <w:p>
            <w:pPr>
              <w:pStyle w:val="24"/>
              <w:jc w:val="center"/>
              <w:rPr>
                <w:rFonts w:ascii="FangSong" w:hAnsi="FangSong" w:eastAsia="FangSong"/>
                <w:sz w:val="23"/>
                <w:szCs w:val="23"/>
                <w:lang w:eastAsia="zh-CN"/>
              </w:rPr>
            </w:pPr>
          </w:p>
        </w:tc>
        <w:tc>
          <w:tcPr>
            <w:tcW w:w="2795" w:type="dxa"/>
            <w:shd w:val="clear" w:color="auto" w:fill="auto"/>
            <w:vAlign w:val="center"/>
          </w:tcPr>
          <w:p>
            <w:pPr>
              <w:pStyle w:val="24"/>
              <w:jc w:val="center"/>
              <w:rPr>
                <w:rFonts w:ascii="FangSong" w:hAnsi="FangSong" w:eastAsia="FangSong"/>
                <w:sz w:val="23"/>
                <w:szCs w:val="23"/>
                <w:lang w:eastAsia="zh-CN"/>
              </w:rPr>
            </w:pPr>
          </w:p>
        </w:tc>
      </w:tr>
    </w:tbl>
    <w:p>
      <w:pPr>
        <w:ind w:left="525" w:hanging="525"/>
        <w:rPr>
          <w:rFonts w:ascii="FangSong_GB2312" w:hAnsi="FangSong_GB2312" w:eastAsia="FangSong_GB2312" w:cs="FangSong_GB2312"/>
          <w:sz w:val="24"/>
        </w:rPr>
      </w:pPr>
      <w:r>
        <w:rPr>
          <w:rFonts w:hint="eastAsia" w:ascii="FangSong_GB2312" w:hAnsi="FangSong_GB2312" w:eastAsia="FangSong_GB2312" w:cs="FangSong_GB2312"/>
          <w:sz w:val="24"/>
        </w:rPr>
        <w:t>注：1.处罚处理对象包括资产评估机构、法定代表人、首席评估师、质量控制负责人、其他资产评估师（含珠宝）。</w:t>
      </w:r>
    </w:p>
    <w:p>
      <w:pPr>
        <w:ind w:firstLine="480" w:firstLineChars="200"/>
        <w:rPr>
          <w:rFonts w:ascii="FangSong_GB2312" w:hAnsi="FangSong_GB2312" w:eastAsia="FangSong_GB2312" w:cs="FangSong_GB2312"/>
          <w:sz w:val="24"/>
        </w:rPr>
      </w:pPr>
      <w:r>
        <w:rPr>
          <w:rFonts w:hint="eastAsia" w:ascii="FangSong_GB2312" w:hAnsi="FangSong_GB2312" w:eastAsia="FangSong_GB2312" w:cs="FangSong_GB2312"/>
          <w:sz w:val="24"/>
        </w:rPr>
        <w:t>2.处罚处理对象为资产评估机构的，证件号码为统一社会信用代码；处罚处理对象为自然人的需填写姓名，有身份证的，身份证件类型必须填写身份证。</w:t>
      </w:r>
    </w:p>
    <w:p>
      <w:pPr>
        <w:ind w:firstLine="480" w:firstLineChars="200"/>
        <w:rPr>
          <w:rFonts w:ascii="FangSong_GB2312" w:hAnsi="FangSong_GB2312" w:eastAsia="FangSong_GB2312" w:cs="FangSong_GB2312"/>
          <w:sz w:val="24"/>
        </w:rPr>
      </w:pPr>
      <w:r>
        <w:rPr>
          <w:rFonts w:hint="eastAsia" w:ascii="FangSong_GB2312" w:hAnsi="FangSong_GB2312" w:eastAsia="FangSong_GB2312" w:cs="FangSong_GB2312"/>
          <w:sz w:val="24"/>
        </w:rPr>
        <w:t>3.处罚处理类型包括刑事处罚、行政处罚、监督管理措施、自律惩戒、纪律处分，按上述顺序进行排序，同一处罚处理类型按照处罚处理日期先后顺序排序。</w:t>
      </w:r>
    </w:p>
    <w:p>
      <w:pPr>
        <w:widowControl/>
        <w:jc w:val="left"/>
        <w:rPr>
          <w:rFonts w:ascii="FangSong_GB2312" w:hAnsi="FangSong_GB2312" w:eastAsia="FangSong_GB2312" w:cs="FangSong_GB2312"/>
          <w:sz w:val="32"/>
          <w:szCs w:val="32"/>
        </w:rPr>
        <w:sectPr>
          <w:footerReference r:id="rId5" w:type="default"/>
          <w:pgSz w:w="16838" w:h="11906" w:orient="landscape"/>
          <w:pgMar w:top="1417" w:right="1440" w:bottom="1417" w:left="1440" w:header="851" w:footer="992" w:gutter="0"/>
          <w:cols w:space="0" w:num="1"/>
          <w:docGrid w:type="lines" w:linePitch="324" w:charSpace="0"/>
        </w:sectPr>
      </w:pPr>
      <w:r>
        <w:rPr>
          <w:rFonts w:hint="eastAsia" w:ascii="FangSong_GB2312" w:hAnsi="FangSong_GB2312" w:eastAsia="FangSong_GB2312" w:cs="FangSong_GB2312"/>
          <w:sz w:val="24"/>
        </w:rPr>
        <w:br w:type="page"/>
      </w:r>
    </w:p>
    <w:p>
      <w:pPr>
        <w:widowControl/>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附6：</w:t>
      </w:r>
    </w:p>
    <w:p>
      <w:pPr>
        <w:jc w:val="cente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资产评估机构职业责任保险或者职业风险基金情况说明</w:t>
      </w:r>
    </w:p>
    <w:p>
      <w:pPr>
        <w:jc w:val="center"/>
        <w:rPr>
          <w:rFonts w:ascii="FangSong_GB2312" w:hAnsi="FangSong_GB2312" w:eastAsia="FangSong_GB2312" w:cs="FangSong_GB2312"/>
          <w:b/>
          <w:sz w:val="32"/>
          <w:szCs w:val="32"/>
        </w:rPr>
      </w:pPr>
    </w:p>
    <w:p>
      <w:pPr>
        <w:pStyle w:val="17"/>
        <w:widowControl/>
        <w:numPr>
          <w:ilvl w:val="0"/>
          <w:numId w:val="5"/>
        </w:numPr>
        <w:ind w:firstLineChars="0"/>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资产评估机构是否具备与从事证券服务业务相适应的职业责任保险或者职业风险基金的自述说明</w:t>
      </w:r>
    </w:p>
    <w:p>
      <w:pPr>
        <w:pStyle w:val="17"/>
        <w:widowControl/>
        <w:numPr>
          <w:ilvl w:val="0"/>
          <w:numId w:val="5"/>
        </w:numPr>
        <w:ind w:firstLineChars="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支持性文件（目录）</w:t>
      </w:r>
    </w:p>
    <w:p>
      <w:pPr>
        <w:pStyle w:val="17"/>
        <w:widowControl/>
        <w:numPr>
          <w:ilvl w:val="0"/>
          <w:numId w:val="5"/>
        </w:numPr>
        <w:ind w:firstLineChars="0"/>
        <w:jc w:val="left"/>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支持性文件（正文）</w:t>
      </w:r>
    </w:p>
    <w:p>
      <w:pPr>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br w:type="page"/>
      </w:r>
    </w:p>
    <w:p>
      <w:pPr>
        <w:widowControl/>
        <w:jc w:val="left"/>
        <w:rPr>
          <w:rFonts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附7：</w:t>
      </w:r>
    </w:p>
    <w:p>
      <w:pPr>
        <w:jc w:val="cente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资产评估机构关于备案材料和信息真实、准确、完整的承诺</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pPr>
              <w:jc w:val="center"/>
              <w:rPr>
                <w:rFonts w:cs="FangSong_GB2312" w:asciiTheme="minorEastAsia" w:hAnsiTheme="minorEastAsia"/>
                <w:bCs/>
                <w:sz w:val="32"/>
                <w:szCs w:val="32"/>
              </w:rPr>
            </w:pPr>
            <w:r>
              <w:rPr>
                <w:rFonts w:hint="eastAsia" w:cs="FangSong_GB2312" w:asciiTheme="minorEastAsia" w:hAnsiTheme="minorEastAsia"/>
                <w:bCs/>
                <w:sz w:val="32"/>
                <w:szCs w:val="32"/>
              </w:rPr>
              <w:t>首次备案材料和信息清单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pPr>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本机构承诺提交的备案材料和信息真实、准确、完整，不存在虚假记载、误导性陈述或者重大遗漏。</w:t>
            </w:r>
          </w:p>
          <w:p>
            <w:pPr>
              <w:rPr>
                <w:rFonts w:ascii="FangSong_GB2312" w:hAnsi="FangSong_GB2312" w:eastAsia="FangSong_GB2312" w:cs="FangSong_GB2312"/>
                <w:b/>
                <w:sz w:val="32"/>
                <w:szCs w:val="32"/>
              </w:rPr>
            </w:pPr>
          </w:p>
          <w:p>
            <w:pPr>
              <w:rPr>
                <w:rFonts w:cs="FangSong_GB2312" w:asciiTheme="minorEastAsia" w:hAnsiTheme="minorEastAsia"/>
                <w:bCs/>
                <w:sz w:val="32"/>
                <w:szCs w:val="32"/>
              </w:rPr>
            </w:pPr>
            <w:r>
              <w:rPr>
                <w:rFonts w:hint="eastAsia" w:cs="FangSong_GB2312" w:asciiTheme="minorEastAsia" w:hAnsiTheme="minorEastAsia"/>
                <w:bCs/>
                <w:sz w:val="32"/>
                <w:szCs w:val="32"/>
              </w:rPr>
              <w:t>法定代表人（执行合伙事务的合伙人）     资产评估机构</w:t>
            </w:r>
          </w:p>
          <w:p>
            <w:pPr>
              <w:rPr>
                <w:rFonts w:cs="FangSong_GB2312" w:asciiTheme="minorEastAsia" w:hAnsiTheme="minorEastAsia"/>
                <w:bCs/>
                <w:sz w:val="32"/>
                <w:szCs w:val="32"/>
              </w:rPr>
            </w:pPr>
            <w:r>
              <w:rPr>
                <w:rFonts w:hint="eastAsia" w:cs="FangSong_GB2312" w:asciiTheme="minorEastAsia" w:hAnsiTheme="minorEastAsia"/>
                <w:bCs/>
                <w:sz w:val="32"/>
                <w:szCs w:val="32"/>
              </w:rPr>
              <w:t>（签章）                                      （盖章）</w:t>
            </w:r>
          </w:p>
          <w:p>
            <w:pPr>
              <w:rPr>
                <w:rFonts w:cs="FangSong_GB2312" w:asciiTheme="minorEastAsia" w:hAnsiTheme="minorEastAsia"/>
                <w:bCs/>
                <w:sz w:val="32"/>
                <w:szCs w:val="32"/>
              </w:rPr>
            </w:pPr>
          </w:p>
          <w:p>
            <w:pPr>
              <w:jc w:val="right"/>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年   月   日</w:t>
            </w:r>
          </w:p>
        </w:tc>
      </w:tr>
    </w:tbl>
    <w:p>
      <w:pPr>
        <w:widowControl/>
        <w:jc w:val="left"/>
        <w:rPr>
          <w:rFonts w:ascii="FangSong_GB2312" w:hAnsi="FangSong_GB2312" w:eastAsia="FangSong_GB2312" w:cs="FangSong_GB2312"/>
          <w:sz w:val="32"/>
          <w:szCs w:val="32"/>
        </w:rPr>
        <w:sectPr>
          <w:pgSz w:w="11906" w:h="16838"/>
          <w:pgMar w:top="1440" w:right="1417" w:bottom="1440" w:left="1417" w:header="851" w:footer="992" w:gutter="0"/>
          <w:cols w:space="0" w:num="1"/>
          <w:docGrid w:type="lines" w:linePitch="324" w:charSpace="0"/>
        </w:sectPr>
      </w:pPr>
      <w:r>
        <w:rPr>
          <w:rFonts w:ascii="FangSong_GB2312" w:hAnsi="FangSong_GB2312" w:eastAsia="FangSong_GB2312" w:cs="FangSong_GB2312"/>
          <w:sz w:val="32"/>
          <w:szCs w:val="32"/>
        </w:rPr>
        <w:br w:type="page"/>
      </w:r>
    </w:p>
    <w:p>
      <w:pPr>
        <w:widowControl/>
        <w:jc w:val="left"/>
        <w:rPr>
          <w:rFonts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附</w:t>
      </w:r>
      <w:r>
        <w:rPr>
          <w:rFonts w:ascii="FangSong_GB2312" w:hAnsi="FangSong_GB2312" w:eastAsia="FangSong_GB2312" w:cs="FangSong_GB2312"/>
          <w:bCs/>
          <w:sz w:val="32"/>
          <w:szCs w:val="32"/>
        </w:rPr>
        <w:t>8</w:t>
      </w:r>
      <w:r>
        <w:rPr>
          <w:rFonts w:hint="eastAsia" w:ascii="FangSong_GB2312" w:hAnsi="FangSong_GB2312" w:eastAsia="FangSong_GB2312" w:cs="FangSong_GB2312"/>
          <w:bCs/>
          <w:sz w:val="32"/>
          <w:szCs w:val="32"/>
        </w:rPr>
        <w:t>：</w:t>
      </w:r>
    </w:p>
    <w:p>
      <w:pPr>
        <w:widowControl/>
        <w:jc w:val="center"/>
        <w:rPr>
          <w:rFonts w:ascii="FangSong_GB2312" w:hAnsi="FangSong_GB2312" w:eastAsia="FangSong_GB2312" w:cs="FangSong_GB2312"/>
          <w:bCs/>
          <w:sz w:val="32"/>
          <w:szCs w:val="32"/>
        </w:rPr>
      </w:pPr>
      <w:r>
        <w:rPr>
          <w:rFonts w:hint="eastAsia" w:ascii="FangSong_GB2312" w:hAnsi="FangSong_GB2312" w:eastAsia="FangSong_GB2312" w:cs="FangSong_GB2312"/>
          <w:b/>
          <w:sz w:val="32"/>
          <w:szCs w:val="32"/>
        </w:rPr>
        <w:t>关于资产评估机构及其执业人员在执业中不存在行贿、受贿等行为的承诺</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rPr>
                <w:rFonts w:ascii="FangSong_GB2312" w:hAnsi="FangSong_GB2312" w:eastAsia="FangSong_GB2312" w:cs="FangSong_GB2312"/>
                <w:b/>
                <w:sz w:val="32"/>
                <w:szCs w:val="32"/>
              </w:rPr>
            </w:pPr>
          </w:p>
          <w:p>
            <w:pPr>
              <w:ind w:firstLine="640" w:firstLineChars="200"/>
              <w:rPr>
                <w:rFonts w:cs="FangSong_GB2312" w:asciiTheme="minorEastAsia" w:hAnsiTheme="minorEastAsia"/>
                <w:sz w:val="32"/>
                <w:szCs w:val="32"/>
              </w:rPr>
            </w:pPr>
            <w:r>
              <w:rPr>
                <w:rFonts w:hint="eastAsia" w:ascii="FangSong_GB2312" w:hAnsi="FangSong_GB2312" w:eastAsia="FangSong_GB2312" w:cs="FangSong_GB2312"/>
                <w:sz w:val="32"/>
                <w:szCs w:val="32"/>
              </w:rPr>
              <w:t>本资产评估机构及执业人员承诺在执业中不存在</w:t>
            </w:r>
            <w:r>
              <w:rPr>
                <w:rFonts w:hint="eastAsia" w:ascii="FangSong_GB2312" w:hAnsi="FangSong" w:eastAsia="FangSong_GB2312" w:cs="FangSong"/>
                <w:sz w:val="32"/>
                <w:szCs w:val="32"/>
              </w:rPr>
              <w:t>行贿、受贿等</w:t>
            </w:r>
            <w:r>
              <w:rPr>
                <w:rFonts w:hint="eastAsia" w:ascii="FangSong_GB2312" w:hAnsi="FangSong_GB2312" w:eastAsia="FangSong_GB2312" w:cs="FangSong_GB2312"/>
                <w:sz w:val="32"/>
                <w:szCs w:val="32"/>
              </w:rPr>
              <w:t>行为。</w:t>
            </w:r>
          </w:p>
          <w:p>
            <w:pPr>
              <w:ind w:firstLine="642" w:firstLineChars="200"/>
              <w:rPr>
                <w:rFonts w:cs="FangSong_GB2312" w:asciiTheme="minorEastAsia" w:hAnsiTheme="minorEastAsia"/>
                <w:b/>
                <w:bCs/>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p>
            <w:pPr>
              <w:rPr>
                <w:rFonts w:ascii="FangSong_GB2312" w:hAnsi="FangSong_GB2312" w:eastAsia="FangSong_GB2312" w:cs="FangSong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rPr>
                <w:rFonts w:cs="FangSong_GB2312" w:asciiTheme="minorEastAsia" w:hAnsiTheme="minorEastAsia"/>
                <w:bCs/>
                <w:sz w:val="32"/>
                <w:szCs w:val="32"/>
              </w:rPr>
            </w:pPr>
            <w:r>
              <w:rPr>
                <w:rFonts w:hint="eastAsia" w:cs="FangSong_GB2312" w:asciiTheme="minorEastAsia" w:hAnsiTheme="minorEastAsia"/>
                <w:bCs/>
                <w:sz w:val="32"/>
                <w:szCs w:val="32"/>
              </w:rPr>
              <w:t>法定代表人（执行合伙事务的合伙人）    资产评估机构</w:t>
            </w:r>
          </w:p>
          <w:p>
            <w:pPr>
              <w:rPr>
                <w:rFonts w:cs="FangSong_GB2312" w:asciiTheme="minorEastAsia" w:hAnsiTheme="minorEastAsia"/>
                <w:bCs/>
                <w:sz w:val="32"/>
                <w:szCs w:val="32"/>
              </w:rPr>
            </w:pPr>
            <w:r>
              <w:rPr>
                <w:rFonts w:hint="eastAsia" w:cs="FangSong_GB2312" w:asciiTheme="minorEastAsia" w:hAnsiTheme="minorEastAsia"/>
                <w:bCs/>
                <w:sz w:val="32"/>
                <w:szCs w:val="32"/>
              </w:rPr>
              <w:t>（签章）                                  （盖章）</w:t>
            </w:r>
          </w:p>
          <w:p>
            <w:pPr>
              <w:rPr>
                <w:rFonts w:cs="FangSong_GB2312" w:asciiTheme="minorEastAsia" w:hAnsiTheme="minorEastAsia"/>
                <w:bCs/>
                <w:sz w:val="32"/>
                <w:szCs w:val="32"/>
              </w:rPr>
            </w:pPr>
          </w:p>
          <w:p>
            <w:pPr>
              <w:jc w:val="right"/>
              <w:rPr>
                <w:rFonts w:ascii="FangSong_GB2312" w:hAnsi="FangSong_GB2312" w:eastAsia="FangSong_GB2312" w:cs="FangSong_GB2312"/>
                <w:b/>
                <w:sz w:val="32"/>
                <w:szCs w:val="32"/>
              </w:rPr>
            </w:pPr>
            <w:r>
              <w:rPr>
                <w:rFonts w:hint="eastAsia" w:ascii="FangSong_GB2312" w:hAnsi="FangSong_GB2312" w:eastAsia="FangSong_GB2312" w:cs="FangSong_GB2312"/>
                <w:b/>
                <w:sz w:val="32"/>
                <w:szCs w:val="32"/>
              </w:rPr>
              <w:t>年   月   日</w:t>
            </w:r>
          </w:p>
        </w:tc>
      </w:tr>
    </w:tbl>
    <w:p>
      <w:pPr>
        <w:widowControl/>
        <w:jc w:val="left"/>
        <w:rPr>
          <w:rFonts w:ascii="FangSong_GB2312" w:hAnsi="FangSong_GB2312" w:eastAsia="FangSong_GB2312" w:cs="FangSong_GB2312"/>
          <w:sz w:val="32"/>
          <w:szCs w:val="32"/>
        </w:rPr>
      </w:pPr>
      <w:r>
        <w:rPr>
          <w:rFonts w:ascii="FangSong_GB2312" w:hAnsi="FangSong_GB2312" w:eastAsia="FangSong_GB2312" w:cs="FangSong_GB2312"/>
          <w:sz w:val="32"/>
          <w:szCs w:val="32"/>
        </w:rPr>
        <w:br w:type="page"/>
      </w:r>
    </w:p>
    <w:p>
      <w:pPr>
        <w:spacing w:line="360" w:lineRule="auto"/>
        <w:rPr>
          <w:rFonts w:ascii="FangSong_GB2312" w:hAnsi="FangSong_GB2312" w:eastAsia="FangSong_GB2312" w:cs="FangSong_GB2312"/>
          <w:sz w:val="32"/>
          <w:szCs w:val="32"/>
        </w:rPr>
      </w:pPr>
      <w:r>
        <w:rPr>
          <w:rFonts w:hint="eastAsia" w:ascii="FangSong_GB2312" w:hAnsi="FangSong_GB2312" w:eastAsia="FangSong_GB2312" w:cs="FangSong_GB2312"/>
          <w:sz w:val="32"/>
          <w:szCs w:val="32"/>
        </w:rPr>
        <w:t>附9：</w:t>
      </w:r>
    </w:p>
    <w:p>
      <w:pPr>
        <w:spacing w:line="360" w:lineRule="auto"/>
        <w:jc w:val="center"/>
        <w:rPr>
          <w:rFonts w:ascii="FangSong_GB2312" w:hAnsi="FangSong_GB2312" w:eastAsia="FangSong_GB2312" w:cs="FangSong_GB2312"/>
          <w:sz w:val="24"/>
        </w:rPr>
      </w:pPr>
      <w:r>
        <w:rPr>
          <w:rFonts w:hint="eastAsia" w:ascii="FangSong_GB2312" w:hAnsi="FangSong_GB2312" w:eastAsia="FangSong_GB2312" w:cs="FangSong_GB2312"/>
          <w:b/>
          <w:bCs/>
          <w:sz w:val="32"/>
          <w:szCs w:val="32"/>
        </w:rPr>
        <w:t>资产评估机构从事证券服务业务年度备案表</w:t>
      </w:r>
    </w:p>
    <w:p>
      <w:pPr>
        <w:wordWrap w:val="0"/>
        <w:spacing w:line="360" w:lineRule="auto"/>
        <w:ind w:right="428"/>
        <w:rPr>
          <w:rFonts w:ascii="FangSong_GB2312" w:hAnsi="FangSong_GB2312" w:eastAsia="FangSong_GB2312" w:cs="FangSong_GB2312"/>
          <w:sz w:val="24"/>
        </w:rPr>
      </w:pPr>
      <w:r>
        <w:rPr>
          <w:rFonts w:hint="eastAsia" w:ascii="FangSong_GB2312" w:hAnsi="FangSong_GB2312" w:eastAsia="FangSong_GB2312" w:cs="FangSong_GB2312"/>
          <w:sz w:val="24"/>
        </w:rPr>
        <w:t>资产评估机构名称：            填报日期:          年  月  日</w:t>
      </w:r>
    </w:p>
    <w:tbl>
      <w:tblPr>
        <w:tblStyle w:val="11"/>
        <w:tblW w:w="97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7"/>
        <w:gridCol w:w="938"/>
        <w:gridCol w:w="360"/>
        <w:gridCol w:w="360"/>
        <w:gridCol w:w="1898"/>
        <w:gridCol w:w="1217"/>
        <w:gridCol w:w="1027"/>
        <w:gridCol w:w="470"/>
        <w:gridCol w:w="348"/>
        <w:gridCol w:w="1020"/>
        <w:gridCol w:w="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57" w:type="dxa"/>
            <w:tcBorders>
              <w:bottom w:val="nil"/>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上年末员工</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总数</w:t>
            </w:r>
          </w:p>
        </w:tc>
        <w:tc>
          <w:tcPr>
            <w:tcW w:w="3556" w:type="dxa"/>
            <w:gridSpan w:val="4"/>
            <w:tcBorders>
              <w:bottom w:val="nil"/>
            </w:tcBorders>
            <w:vAlign w:val="center"/>
          </w:tcPr>
          <w:p>
            <w:pPr>
              <w:jc w:val="center"/>
              <w:rPr>
                <w:rFonts w:ascii="FangSong_GB2312" w:hAnsi="FangSong_GB2312" w:eastAsia="FangSong_GB2312" w:cs="FangSong_GB2312"/>
                <w:sz w:val="24"/>
              </w:rPr>
            </w:pPr>
          </w:p>
        </w:tc>
        <w:tc>
          <w:tcPr>
            <w:tcW w:w="2714" w:type="dxa"/>
            <w:gridSpan w:val="3"/>
            <w:tcBorders>
              <w:bottom w:val="nil"/>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上年末资产评估师总数</w:t>
            </w:r>
          </w:p>
        </w:tc>
        <w:tc>
          <w:tcPr>
            <w:tcW w:w="1778" w:type="dxa"/>
            <w:gridSpan w:val="3"/>
            <w:tcBorders>
              <w:bottom w:val="nil"/>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jc w:val="center"/>
        </w:trPr>
        <w:tc>
          <w:tcPr>
            <w:tcW w:w="1657" w:type="dxa"/>
            <w:vMerge w:val="restart"/>
            <w:tcBorders>
              <w:top w:val="single" w:color="auto" w:sz="4" w:space="0"/>
              <w:left w:val="single" w:color="auto" w:sz="4" w:space="0"/>
              <w:right w:val="single" w:color="auto" w:sz="4" w:space="0"/>
            </w:tcBorders>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上一年度股东（合伙人）变动情况</w:t>
            </w:r>
          </w:p>
        </w:tc>
        <w:tc>
          <w:tcPr>
            <w:tcW w:w="938" w:type="dxa"/>
            <w:vMerge w:val="restart"/>
            <w:tcBorders>
              <w:top w:val="single" w:color="auto" w:sz="4" w:space="0"/>
              <w:left w:val="single" w:color="auto" w:sz="4" w:space="0"/>
              <w:right w:val="single" w:color="auto" w:sz="4" w:space="0"/>
            </w:tcBorders>
            <w:vAlign w:val="center"/>
          </w:tcPr>
          <w:p>
            <w:pPr>
              <w:pStyle w:val="6"/>
              <w:tabs>
                <w:tab w:val="clear" w:pos="4153"/>
                <w:tab w:val="clear" w:pos="8306"/>
              </w:tabs>
              <w:snapToGrid/>
              <w:jc w:val="center"/>
              <w:rPr>
                <w:rFonts w:ascii="FangSong_GB2312" w:hAnsi="FangSong_GB2312" w:eastAsia="FangSong_GB2312" w:cs="FangSong_GB2312"/>
                <w:spacing w:val="2"/>
                <w:sz w:val="24"/>
              </w:rPr>
            </w:pPr>
            <w:r>
              <w:rPr>
                <w:rFonts w:hint="eastAsia" w:ascii="FangSong_GB2312" w:hAnsi="FangSong_GB2312" w:eastAsia="FangSong_GB2312" w:cs="FangSong_GB2312"/>
                <w:spacing w:val="2"/>
                <w:sz w:val="24"/>
              </w:rPr>
              <w:t>新增</w:t>
            </w:r>
          </w:p>
        </w:tc>
        <w:tc>
          <w:tcPr>
            <w:tcW w:w="360" w:type="dxa"/>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姓名</w:t>
            </w:r>
          </w:p>
        </w:tc>
        <w:tc>
          <w:tcPr>
            <w:tcW w:w="360" w:type="dxa"/>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持股比例</w:t>
            </w:r>
          </w:p>
        </w:tc>
        <w:tc>
          <w:tcPr>
            <w:tcW w:w="1898"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上年末净资产（万元）</w:t>
            </w:r>
          </w:p>
        </w:tc>
        <w:tc>
          <w:tcPr>
            <w:tcW w:w="1217"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027"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上一年度资产评估业务收入（万元）</w:t>
            </w:r>
          </w:p>
        </w:tc>
        <w:tc>
          <w:tcPr>
            <w:tcW w:w="818" w:type="dxa"/>
            <w:gridSpan w:val="2"/>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020"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上一年度业务收入（万元）</w:t>
            </w:r>
          </w:p>
        </w:tc>
        <w:tc>
          <w:tcPr>
            <w:tcW w:w="410"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jc w:val="center"/>
        </w:trPr>
        <w:tc>
          <w:tcPr>
            <w:tcW w:w="1657" w:type="dxa"/>
            <w:vMerge w:val="continue"/>
            <w:tcBorders>
              <w:left w:val="single" w:color="auto" w:sz="4" w:space="0"/>
              <w:right w:val="single" w:color="auto" w:sz="4" w:space="0"/>
            </w:tcBorders>
            <w:vAlign w:val="center"/>
          </w:tcPr>
          <w:p>
            <w:pPr>
              <w:rPr>
                <w:rFonts w:ascii="FangSong_GB2312" w:hAnsi="FangSong_GB2312" w:eastAsia="FangSong_GB2312" w:cs="FangSong_GB2312"/>
                <w:sz w:val="24"/>
              </w:rPr>
            </w:pPr>
          </w:p>
        </w:tc>
        <w:tc>
          <w:tcPr>
            <w:tcW w:w="938" w:type="dxa"/>
            <w:vMerge w:val="continue"/>
            <w:tcBorders>
              <w:left w:val="single" w:color="auto" w:sz="4" w:space="0"/>
              <w:bottom w:val="single" w:color="auto" w:sz="4" w:space="0"/>
              <w:right w:val="single" w:color="auto" w:sz="4" w:space="0"/>
            </w:tcBorders>
            <w:vAlign w:val="center"/>
          </w:tcPr>
          <w:p>
            <w:pPr>
              <w:pStyle w:val="6"/>
              <w:tabs>
                <w:tab w:val="clear" w:pos="4153"/>
                <w:tab w:val="clear" w:pos="8306"/>
              </w:tabs>
              <w:snapToGrid/>
              <w:jc w:val="center"/>
              <w:rPr>
                <w:rFonts w:ascii="FangSong_GB2312" w:hAnsi="FangSong_GB2312" w:eastAsia="FangSong_GB2312" w:cs="FangSong_GB2312"/>
                <w:spacing w:val="2"/>
                <w:sz w:val="24"/>
              </w:rPr>
            </w:pPr>
          </w:p>
        </w:tc>
        <w:tc>
          <w:tcPr>
            <w:tcW w:w="360" w:type="dxa"/>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360" w:type="dxa"/>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898"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217"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027"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818" w:type="dxa"/>
            <w:gridSpan w:val="2"/>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020"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410"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1657" w:type="dxa"/>
            <w:vMerge w:val="continue"/>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938" w:type="dxa"/>
            <w:vMerge w:val="restart"/>
            <w:tcBorders>
              <w:top w:val="single" w:color="auto" w:sz="4" w:space="0"/>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退出</w:t>
            </w:r>
          </w:p>
        </w:tc>
        <w:tc>
          <w:tcPr>
            <w:tcW w:w="360" w:type="dxa"/>
            <w:tcBorders>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姓名</w:t>
            </w:r>
          </w:p>
        </w:tc>
        <w:tc>
          <w:tcPr>
            <w:tcW w:w="360" w:type="dxa"/>
            <w:tcBorders>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持股比例</w:t>
            </w:r>
          </w:p>
        </w:tc>
        <w:tc>
          <w:tcPr>
            <w:tcW w:w="1898" w:type="dxa"/>
            <w:vMerge w:val="restart"/>
            <w:tcBorders>
              <w:left w:val="single" w:color="auto" w:sz="4" w:space="0"/>
              <w:bottom w:val="nil"/>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上一年度证券服务业务收入</w:t>
            </w:r>
          </w:p>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（万元）</w:t>
            </w:r>
          </w:p>
        </w:tc>
        <w:tc>
          <w:tcPr>
            <w:tcW w:w="1217" w:type="dxa"/>
            <w:vMerge w:val="restart"/>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p>
            <w:pPr>
              <w:jc w:val="center"/>
              <w:rPr>
                <w:rFonts w:ascii="FangSong_GB2312" w:hAnsi="FangSong_GB2312" w:eastAsia="FangSong_GB2312" w:cs="FangSong_GB2312"/>
                <w:sz w:val="24"/>
              </w:rPr>
            </w:pPr>
          </w:p>
        </w:tc>
        <w:tc>
          <w:tcPr>
            <w:tcW w:w="1845" w:type="dxa"/>
            <w:gridSpan w:val="3"/>
            <w:tcBorders>
              <w:left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保险合同有效期内职业保险累计赔偿限额（万元）</w:t>
            </w:r>
          </w:p>
        </w:tc>
        <w:tc>
          <w:tcPr>
            <w:tcW w:w="1430" w:type="dxa"/>
            <w:gridSpan w:val="2"/>
            <w:tcBorders>
              <w:left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atLeast"/>
          <w:jc w:val="center"/>
        </w:trPr>
        <w:tc>
          <w:tcPr>
            <w:tcW w:w="1657" w:type="dxa"/>
            <w:vMerge w:val="continue"/>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938" w:type="dxa"/>
            <w:vMerge w:val="continue"/>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360" w:type="dxa"/>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360" w:type="dxa"/>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898" w:type="dxa"/>
            <w:vMerge w:val="continue"/>
            <w:tcBorders>
              <w:left w:val="single" w:color="auto" w:sz="4" w:space="0"/>
              <w:bottom w:val="nil"/>
              <w:right w:val="single" w:color="auto" w:sz="4" w:space="0"/>
            </w:tcBorders>
            <w:vAlign w:val="center"/>
          </w:tcPr>
          <w:p>
            <w:pPr>
              <w:jc w:val="center"/>
              <w:rPr>
                <w:rFonts w:ascii="FangSong_GB2312" w:hAnsi="FangSong_GB2312" w:eastAsia="FangSong_GB2312" w:cs="FangSong_GB2312"/>
                <w:sz w:val="24"/>
              </w:rPr>
            </w:pPr>
          </w:p>
        </w:tc>
        <w:tc>
          <w:tcPr>
            <w:tcW w:w="1217" w:type="dxa"/>
            <w:vMerge w:val="continue"/>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845" w:type="dxa"/>
            <w:gridSpan w:val="3"/>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累计职业风险基金（万元）</w:t>
            </w:r>
          </w:p>
        </w:tc>
        <w:tc>
          <w:tcPr>
            <w:tcW w:w="1430" w:type="dxa"/>
            <w:gridSpan w:val="2"/>
            <w:tcBorders>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0" w:hRule="atLeast"/>
          <w:jc w:val="center"/>
        </w:trPr>
        <w:tc>
          <w:tcPr>
            <w:tcW w:w="3315" w:type="dxa"/>
            <w:gridSpan w:val="4"/>
            <w:tcBorders>
              <w:top w:val="single" w:color="auto" w:sz="4" w:space="0"/>
              <w:left w:val="single" w:color="auto" w:sz="4" w:space="0"/>
              <w:bottom w:val="single" w:color="auto" w:sz="4" w:space="0"/>
              <w:right w:val="single" w:color="auto" w:sz="4" w:space="0"/>
            </w:tcBorders>
            <w:vAlign w:val="center"/>
          </w:tcPr>
          <w:p>
            <w:pPr>
              <w:pStyle w:val="7"/>
              <w:pBdr>
                <w:bottom w:val="none" w:color="auto" w:sz="0" w:space="0"/>
              </w:pBdr>
              <w:tabs>
                <w:tab w:val="clear" w:pos="4153"/>
                <w:tab w:val="clear" w:pos="8306"/>
              </w:tabs>
              <w:snapToGrid/>
              <w:jc w:val="left"/>
              <w:rPr>
                <w:rFonts w:ascii="FangSong_GB2312" w:hAnsi="FangSong_GB2312" w:eastAsia="FangSong_GB2312" w:cs="FangSong_GB2312"/>
                <w:sz w:val="24"/>
              </w:rPr>
            </w:pPr>
            <w:r>
              <w:rPr>
                <w:rFonts w:hint="eastAsia" w:ascii="FangSong_GB2312" w:hAnsi="FangSong_GB2312" w:eastAsia="FangSong_GB2312" w:cs="FangSong_GB2312"/>
                <w:sz w:val="24"/>
              </w:rPr>
              <w:t>资产评估师与员工总数变动情况</w:t>
            </w:r>
          </w:p>
        </w:tc>
        <w:tc>
          <w:tcPr>
            <w:tcW w:w="1898"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上年初</w:t>
            </w:r>
          </w:p>
        </w:tc>
        <w:tc>
          <w:tcPr>
            <w:tcW w:w="1217"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上年转入</w:t>
            </w:r>
          </w:p>
        </w:tc>
        <w:tc>
          <w:tcPr>
            <w:tcW w:w="184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上年转出</w:t>
            </w:r>
          </w:p>
        </w:tc>
        <w:tc>
          <w:tcPr>
            <w:tcW w:w="14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上年末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3315" w:type="dxa"/>
            <w:gridSpan w:val="4"/>
            <w:tcBorders>
              <w:top w:val="single" w:color="auto" w:sz="4" w:space="0"/>
              <w:left w:val="single" w:color="auto" w:sz="4" w:space="0"/>
              <w:bottom w:val="single" w:color="auto" w:sz="4" w:space="0"/>
              <w:right w:val="single" w:color="auto" w:sz="4" w:space="0"/>
            </w:tcBorders>
            <w:vAlign w:val="center"/>
          </w:tcPr>
          <w:p>
            <w:pPr>
              <w:jc w:val="left"/>
              <w:rPr>
                <w:rFonts w:ascii="FangSong_GB2312" w:hAnsi="FangSong_GB2312" w:eastAsia="FangSong_GB2312" w:cs="FangSong_GB2312"/>
                <w:sz w:val="24"/>
              </w:rPr>
            </w:pPr>
            <w:r>
              <w:rPr>
                <w:rFonts w:hint="eastAsia" w:ascii="FangSong_GB2312" w:hAnsi="FangSong_GB2312" w:eastAsia="FangSong_GB2312" w:cs="FangSong_GB2312"/>
                <w:sz w:val="24"/>
              </w:rPr>
              <w:t>资产评估师总数</w:t>
            </w:r>
          </w:p>
        </w:tc>
        <w:tc>
          <w:tcPr>
            <w:tcW w:w="1898"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217"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84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4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3315" w:type="dxa"/>
            <w:gridSpan w:val="4"/>
            <w:tcBorders>
              <w:top w:val="single" w:color="auto" w:sz="4" w:space="0"/>
              <w:left w:val="single" w:color="auto" w:sz="4" w:space="0"/>
              <w:bottom w:val="single" w:color="auto" w:sz="4" w:space="0"/>
              <w:right w:val="single" w:color="auto" w:sz="4" w:space="0"/>
            </w:tcBorders>
            <w:vAlign w:val="center"/>
          </w:tcPr>
          <w:p>
            <w:pPr>
              <w:jc w:val="left"/>
              <w:rPr>
                <w:rFonts w:ascii="FangSong_GB2312" w:hAnsi="FangSong_GB2312" w:eastAsia="FangSong_GB2312" w:cs="FangSong_GB2312"/>
                <w:sz w:val="24"/>
              </w:rPr>
            </w:pPr>
            <w:r>
              <w:rPr>
                <w:rFonts w:hint="eastAsia" w:ascii="FangSong_GB2312" w:hAnsi="FangSong_GB2312" w:eastAsia="FangSong_GB2312" w:cs="FangSong_GB2312"/>
                <w:sz w:val="24"/>
              </w:rPr>
              <w:t>员工总数</w:t>
            </w:r>
          </w:p>
        </w:tc>
        <w:tc>
          <w:tcPr>
            <w:tcW w:w="1898"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217"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84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14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3315" w:type="dxa"/>
            <w:gridSpan w:val="4"/>
            <w:tcBorders>
              <w:top w:val="single" w:color="auto" w:sz="4" w:space="0"/>
              <w:left w:val="single" w:color="auto" w:sz="4" w:space="0"/>
              <w:bottom w:val="single" w:color="auto" w:sz="4" w:space="0"/>
              <w:right w:val="single" w:color="auto" w:sz="4" w:space="0"/>
            </w:tcBorders>
            <w:vAlign w:val="center"/>
          </w:tcPr>
          <w:p>
            <w:pPr>
              <w:jc w:val="left"/>
              <w:rPr>
                <w:rFonts w:ascii="FangSong_GB2312" w:hAnsi="FangSong_GB2312" w:eastAsia="FangSong_GB2312" w:cs="FangSong_GB2312"/>
                <w:sz w:val="24"/>
              </w:rPr>
            </w:pPr>
            <w:r>
              <w:rPr>
                <w:rFonts w:hint="eastAsia" w:ascii="FangSong_GB2312" w:hAnsi="FangSong_GB2312" w:eastAsia="FangSong_GB2312" w:cs="FangSong_GB2312"/>
                <w:sz w:val="24"/>
              </w:rPr>
              <w:t>实际控制人名称（如适用）</w:t>
            </w:r>
          </w:p>
        </w:tc>
        <w:tc>
          <w:tcPr>
            <w:tcW w:w="1898"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c>
          <w:tcPr>
            <w:tcW w:w="3062"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实际控制人身份证号码或者统一社会信用代码（如适用）</w:t>
            </w:r>
          </w:p>
        </w:tc>
        <w:tc>
          <w:tcPr>
            <w:tcW w:w="14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jc w:val="center"/>
        </w:trPr>
        <w:tc>
          <w:tcPr>
            <w:tcW w:w="1657" w:type="dxa"/>
            <w:tcBorders>
              <w:bottom w:val="nil"/>
            </w:tcBorders>
            <w:vAlign w:val="center"/>
          </w:tcPr>
          <w:p>
            <w:pPr>
              <w:jc w:val="left"/>
              <w:rPr>
                <w:rFonts w:ascii="FangSong_GB2312" w:hAnsi="FangSong_GB2312" w:eastAsia="FangSong_GB2312" w:cs="FangSong_GB2312"/>
                <w:sz w:val="24"/>
              </w:rPr>
            </w:pPr>
            <w:r>
              <w:rPr>
                <w:rFonts w:hint="eastAsia" w:ascii="FangSong_GB2312" w:hAnsi="FangSong_GB2312" w:eastAsia="FangSong_GB2312" w:cs="FangSong_GB2312"/>
                <w:sz w:val="24"/>
              </w:rPr>
              <w:t>监管联系人</w:t>
            </w:r>
          </w:p>
        </w:tc>
        <w:tc>
          <w:tcPr>
            <w:tcW w:w="938" w:type="dxa"/>
            <w:tcBorders>
              <w:bottom w:val="nil"/>
            </w:tcBorders>
            <w:vAlign w:val="center"/>
          </w:tcPr>
          <w:p>
            <w:pPr>
              <w:jc w:val="center"/>
              <w:rPr>
                <w:rFonts w:ascii="FangSong_GB2312" w:hAnsi="FangSong_GB2312" w:eastAsia="FangSong_GB2312" w:cs="FangSong_GB2312"/>
                <w:sz w:val="24"/>
              </w:rPr>
            </w:pPr>
          </w:p>
        </w:tc>
        <w:tc>
          <w:tcPr>
            <w:tcW w:w="720" w:type="dxa"/>
            <w:gridSpan w:val="2"/>
            <w:tcBorders>
              <w:bottom w:val="nil"/>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职务</w:t>
            </w:r>
          </w:p>
        </w:tc>
        <w:tc>
          <w:tcPr>
            <w:tcW w:w="1898" w:type="dxa"/>
            <w:tcBorders>
              <w:bottom w:val="nil"/>
            </w:tcBorders>
            <w:vAlign w:val="center"/>
          </w:tcPr>
          <w:p>
            <w:pPr>
              <w:jc w:val="center"/>
              <w:rPr>
                <w:rFonts w:ascii="FangSong_GB2312" w:hAnsi="FangSong_GB2312" w:eastAsia="FangSong_GB2312" w:cs="FangSong_GB2312"/>
                <w:sz w:val="24"/>
              </w:rPr>
            </w:pPr>
          </w:p>
        </w:tc>
        <w:tc>
          <w:tcPr>
            <w:tcW w:w="1217" w:type="dxa"/>
            <w:tcBorders>
              <w:bottom w:val="nil"/>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电话</w:t>
            </w:r>
          </w:p>
        </w:tc>
        <w:tc>
          <w:tcPr>
            <w:tcW w:w="1027" w:type="dxa"/>
            <w:tcBorders>
              <w:bottom w:val="nil"/>
            </w:tcBorders>
            <w:vAlign w:val="center"/>
          </w:tcPr>
          <w:p>
            <w:pPr>
              <w:jc w:val="center"/>
              <w:rPr>
                <w:rFonts w:ascii="FangSong_GB2312" w:hAnsi="FangSong_GB2312" w:eastAsia="FangSong_GB2312" w:cs="FangSong_GB2312"/>
                <w:sz w:val="24"/>
              </w:rPr>
            </w:pPr>
          </w:p>
        </w:tc>
        <w:tc>
          <w:tcPr>
            <w:tcW w:w="818" w:type="dxa"/>
            <w:gridSpan w:val="2"/>
            <w:tcBorders>
              <w:bottom w:val="nil"/>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邮箱</w:t>
            </w:r>
          </w:p>
        </w:tc>
        <w:tc>
          <w:tcPr>
            <w:tcW w:w="1430" w:type="dxa"/>
            <w:gridSpan w:val="2"/>
            <w:tcBorders>
              <w:bottom w:val="nil"/>
            </w:tcBorders>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57" w:type="dxa"/>
            <w:tcBorders>
              <w:top w:val="single" w:color="auto" w:sz="4" w:space="0"/>
              <w:left w:val="single" w:color="auto" w:sz="4" w:space="0"/>
              <w:bottom w:val="single" w:color="auto" w:sz="4" w:space="0"/>
              <w:right w:val="single" w:color="auto" w:sz="4" w:space="0"/>
            </w:tcBorders>
            <w:vAlign w:val="center"/>
          </w:tcPr>
          <w:p>
            <w:pPr>
              <w:jc w:val="left"/>
              <w:rPr>
                <w:rFonts w:ascii="FangSong_GB2312" w:hAnsi="FangSong_GB2312" w:eastAsia="FangSong_GB2312" w:cs="FangSong_GB2312"/>
                <w:sz w:val="24"/>
              </w:rPr>
            </w:pPr>
            <w:r>
              <w:rPr>
                <w:rFonts w:hint="eastAsia" w:ascii="FangSong_GB2312" w:hAnsi="FangSong_GB2312" w:eastAsia="FangSong_GB2312" w:cs="FangSong_GB2312"/>
                <w:sz w:val="24"/>
              </w:rPr>
              <w:t>分支机构名称</w:t>
            </w:r>
          </w:p>
        </w:tc>
        <w:tc>
          <w:tcPr>
            <w:tcW w:w="938" w:type="dxa"/>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注册地</w:t>
            </w:r>
          </w:p>
        </w:tc>
        <w:tc>
          <w:tcPr>
            <w:tcW w:w="72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负责人</w:t>
            </w:r>
          </w:p>
        </w:tc>
        <w:tc>
          <w:tcPr>
            <w:tcW w:w="3115" w:type="dxa"/>
            <w:gridSpan w:val="2"/>
            <w:tcBorders>
              <w:top w:val="single" w:color="auto" w:sz="4" w:space="0"/>
              <w:left w:val="single" w:color="auto" w:sz="4" w:space="0"/>
              <w:bottom w:val="single" w:color="auto" w:sz="4" w:space="0"/>
              <w:right w:val="single" w:color="auto" w:sz="4" w:space="0"/>
            </w:tcBorders>
            <w:vAlign w:val="center"/>
          </w:tcPr>
          <w:p>
            <w:pPr>
              <w:pStyle w:val="7"/>
              <w:pBdr>
                <w:bottom w:val="none" w:color="auto" w:sz="0" w:space="0"/>
              </w:pBdr>
              <w:tabs>
                <w:tab w:val="clear" w:pos="4153"/>
                <w:tab w:val="clear" w:pos="8306"/>
              </w:tabs>
              <w:snapToGrid/>
              <w:rPr>
                <w:rFonts w:ascii="FangSong_GB2312" w:hAnsi="FangSong_GB2312" w:eastAsia="FangSong_GB2312" w:cs="FangSong_GB2312"/>
                <w:b/>
                <w:bCs/>
                <w:sz w:val="24"/>
              </w:rPr>
            </w:pPr>
            <w:r>
              <w:rPr>
                <w:rFonts w:hint="eastAsia" w:ascii="FangSong_GB2312" w:hAnsi="FangSong_GB2312" w:eastAsia="FangSong_GB2312" w:cs="FangSong_GB2312"/>
                <w:sz w:val="24"/>
              </w:rPr>
              <w:t>监管联系人</w:t>
            </w:r>
          </w:p>
        </w:tc>
        <w:tc>
          <w:tcPr>
            <w:tcW w:w="1845" w:type="dxa"/>
            <w:gridSpan w:val="3"/>
            <w:tcBorders>
              <w:top w:val="single" w:color="auto" w:sz="4" w:space="0"/>
              <w:left w:val="single" w:color="auto" w:sz="4" w:space="0"/>
              <w:bottom w:val="single" w:color="auto" w:sz="4" w:space="0"/>
              <w:right w:val="single" w:color="auto" w:sz="4" w:space="0"/>
            </w:tcBorders>
            <w:vAlign w:val="center"/>
          </w:tcPr>
          <w:p>
            <w:pPr>
              <w:pStyle w:val="7"/>
              <w:pBdr>
                <w:bottom w:val="none" w:color="auto" w:sz="0" w:space="0"/>
              </w:pBdr>
              <w:tabs>
                <w:tab w:val="clear" w:pos="4153"/>
                <w:tab w:val="clear" w:pos="8306"/>
              </w:tabs>
              <w:snapToGrid/>
              <w:rPr>
                <w:rFonts w:ascii="FangSong_GB2312" w:hAnsi="FangSong_GB2312" w:eastAsia="FangSong_GB2312" w:cs="FangSong_GB2312"/>
                <w:sz w:val="24"/>
              </w:rPr>
            </w:pPr>
            <w:r>
              <w:rPr>
                <w:rFonts w:hint="eastAsia" w:ascii="FangSong_GB2312" w:hAnsi="FangSong_GB2312" w:eastAsia="FangSong_GB2312" w:cs="FangSong_GB2312"/>
                <w:sz w:val="24"/>
              </w:rPr>
              <w:t>监管联系人电话</w:t>
            </w:r>
          </w:p>
        </w:tc>
        <w:tc>
          <w:tcPr>
            <w:tcW w:w="14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资产评估师总数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57" w:type="dxa"/>
            <w:vAlign w:val="center"/>
          </w:tcPr>
          <w:p>
            <w:pPr>
              <w:jc w:val="center"/>
              <w:rPr>
                <w:rFonts w:ascii="FangSong_GB2312" w:hAnsi="FangSong_GB2312" w:eastAsia="FangSong_GB2312" w:cs="FangSong_GB2312"/>
                <w:sz w:val="24"/>
              </w:rPr>
            </w:pPr>
          </w:p>
        </w:tc>
        <w:tc>
          <w:tcPr>
            <w:tcW w:w="938" w:type="dxa"/>
            <w:vAlign w:val="center"/>
          </w:tcPr>
          <w:p>
            <w:pPr>
              <w:jc w:val="center"/>
              <w:rPr>
                <w:rFonts w:ascii="FangSong_GB2312" w:hAnsi="FangSong_GB2312" w:eastAsia="FangSong_GB2312" w:cs="FangSong_GB2312"/>
                <w:sz w:val="24"/>
              </w:rPr>
            </w:pPr>
          </w:p>
        </w:tc>
        <w:tc>
          <w:tcPr>
            <w:tcW w:w="720" w:type="dxa"/>
            <w:gridSpan w:val="2"/>
            <w:vAlign w:val="center"/>
          </w:tcPr>
          <w:p>
            <w:pPr>
              <w:jc w:val="center"/>
              <w:rPr>
                <w:rFonts w:ascii="FangSong_GB2312" w:hAnsi="FangSong_GB2312" w:eastAsia="FangSong_GB2312" w:cs="FangSong_GB2312"/>
                <w:sz w:val="24"/>
              </w:rPr>
            </w:pPr>
          </w:p>
        </w:tc>
        <w:tc>
          <w:tcPr>
            <w:tcW w:w="3115" w:type="dxa"/>
            <w:gridSpan w:val="2"/>
            <w:vAlign w:val="center"/>
          </w:tcPr>
          <w:p>
            <w:pPr>
              <w:jc w:val="center"/>
              <w:rPr>
                <w:rFonts w:ascii="FangSong_GB2312" w:hAnsi="FangSong_GB2312" w:eastAsia="FangSong_GB2312" w:cs="FangSong_GB2312"/>
                <w:sz w:val="24"/>
              </w:rPr>
            </w:pPr>
          </w:p>
        </w:tc>
        <w:tc>
          <w:tcPr>
            <w:tcW w:w="1845" w:type="dxa"/>
            <w:gridSpan w:val="3"/>
            <w:vAlign w:val="center"/>
          </w:tcPr>
          <w:p>
            <w:pPr>
              <w:jc w:val="center"/>
              <w:rPr>
                <w:rFonts w:ascii="FangSong_GB2312" w:hAnsi="FangSong_GB2312" w:eastAsia="FangSong_GB2312" w:cs="FangSong_GB2312"/>
                <w:sz w:val="24"/>
              </w:rPr>
            </w:pPr>
          </w:p>
        </w:tc>
        <w:tc>
          <w:tcPr>
            <w:tcW w:w="1430" w:type="dxa"/>
            <w:gridSpan w:val="2"/>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57" w:type="dxa"/>
            <w:vAlign w:val="center"/>
          </w:tcPr>
          <w:p>
            <w:pPr>
              <w:jc w:val="center"/>
              <w:rPr>
                <w:rFonts w:ascii="FangSong_GB2312" w:hAnsi="FangSong_GB2312" w:eastAsia="FangSong_GB2312" w:cs="FangSong_GB2312"/>
                <w:sz w:val="24"/>
              </w:rPr>
            </w:pPr>
          </w:p>
        </w:tc>
        <w:tc>
          <w:tcPr>
            <w:tcW w:w="938" w:type="dxa"/>
            <w:vAlign w:val="center"/>
          </w:tcPr>
          <w:p>
            <w:pPr>
              <w:jc w:val="center"/>
              <w:rPr>
                <w:rFonts w:ascii="FangSong_GB2312" w:hAnsi="FangSong_GB2312" w:eastAsia="FangSong_GB2312" w:cs="FangSong_GB2312"/>
                <w:sz w:val="24"/>
              </w:rPr>
            </w:pPr>
          </w:p>
        </w:tc>
        <w:tc>
          <w:tcPr>
            <w:tcW w:w="720" w:type="dxa"/>
            <w:gridSpan w:val="2"/>
            <w:vAlign w:val="center"/>
          </w:tcPr>
          <w:p>
            <w:pPr>
              <w:jc w:val="center"/>
              <w:rPr>
                <w:rFonts w:ascii="FangSong_GB2312" w:hAnsi="FangSong_GB2312" w:eastAsia="FangSong_GB2312" w:cs="FangSong_GB2312"/>
                <w:sz w:val="24"/>
              </w:rPr>
            </w:pPr>
          </w:p>
        </w:tc>
        <w:tc>
          <w:tcPr>
            <w:tcW w:w="3115" w:type="dxa"/>
            <w:gridSpan w:val="2"/>
            <w:vAlign w:val="center"/>
          </w:tcPr>
          <w:p>
            <w:pPr>
              <w:jc w:val="center"/>
              <w:rPr>
                <w:rFonts w:ascii="FangSong_GB2312" w:hAnsi="FangSong_GB2312" w:eastAsia="FangSong_GB2312" w:cs="FangSong_GB2312"/>
                <w:sz w:val="24"/>
              </w:rPr>
            </w:pPr>
          </w:p>
        </w:tc>
        <w:tc>
          <w:tcPr>
            <w:tcW w:w="1845" w:type="dxa"/>
            <w:gridSpan w:val="3"/>
            <w:vAlign w:val="center"/>
          </w:tcPr>
          <w:p>
            <w:pPr>
              <w:jc w:val="center"/>
              <w:rPr>
                <w:rFonts w:ascii="FangSong_GB2312" w:hAnsi="FangSong_GB2312" w:eastAsia="FangSong_GB2312" w:cs="FangSong_GB2312"/>
                <w:sz w:val="24"/>
              </w:rPr>
            </w:pPr>
          </w:p>
        </w:tc>
        <w:tc>
          <w:tcPr>
            <w:tcW w:w="1430" w:type="dxa"/>
            <w:gridSpan w:val="2"/>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8275" w:type="dxa"/>
            <w:gridSpan w:val="9"/>
            <w:vAlign w:val="center"/>
          </w:tcPr>
          <w:p>
            <w:pPr>
              <w:jc w:val="center"/>
              <w:rPr>
                <w:rFonts w:ascii="FangSong_GB2312" w:hAnsi="FangSong_GB2312" w:eastAsia="FangSong_GB2312" w:cs="FangSong_GB2312"/>
                <w:sz w:val="24"/>
              </w:rPr>
            </w:pPr>
            <w:r>
              <w:rPr>
                <w:rFonts w:hint="eastAsia" w:ascii="FangSong_GB2312" w:hAnsi="FangSong_GB2312" w:eastAsia="FangSong_GB2312" w:cs="FangSong_GB2312"/>
                <w:sz w:val="24"/>
              </w:rPr>
              <w:t>合计</w:t>
            </w:r>
          </w:p>
        </w:tc>
        <w:tc>
          <w:tcPr>
            <w:tcW w:w="1430" w:type="dxa"/>
            <w:gridSpan w:val="2"/>
            <w:vAlign w:val="center"/>
          </w:tcPr>
          <w:p>
            <w:pPr>
              <w:jc w:val="cente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6" w:hRule="atLeast"/>
          <w:jc w:val="center"/>
        </w:trPr>
        <w:tc>
          <w:tcPr>
            <w:tcW w:w="3315" w:type="dxa"/>
            <w:gridSpan w:val="4"/>
            <w:vAlign w:val="center"/>
          </w:tcPr>
          <w:p>
            <w:pPr>
              <w:rPr>
                <w:rFonts w:ascii="FangSong_GB2312" w:hAnsi="FangSong_GB2312" w:eastAsia="FangSong_GB2312" w:cs="FangSong_GB2312"/>
                <w:sz w:val="24"/>
              </w:rPr>
            </w:pPr>
            <w:r>
              <w:rPr>
                <w:rFonts w:hint="eastAsia" w:ascii="FangSong_GB2312" w:hAnsi="FangSong_GB2312" w:eastAsia="FangSong_GB2312" w:cs="FangSong_GB2312"/>
                <w:sz w:val="24"/>
              </w:rPr>
              <w:t>提交年度备案表时一并附上如下文件：</w:t>
            </w:r>
          </w:p>
          <w:p>
            <w:pPr>
              <w:numPr>
                <w:ilvl w:val="0"/>
                <w:numId w:val="6"/>
              </w:numPr>
              <w:rPr>
                <w:rFonts w:ascii="FangSong_GB2312" w:hAnsi="FangSong_GB2312" w:eastAsia="FangSong_GB2312" w:cs="FangSong_GB2312"/>
                <w:bCs/>
                <w:sz w:val="24"/>
              </w:rPr>
            </w:pPr>
            <w:r>
              <w:rPr>
                <w:rFonts w:hint="eastAsia" w:ascii="FangSong_GB2312" w:hAnsi="FangSong_GB2312" w:eastAsia="FangSong_GB2312" w:cs="FangSong_GB2312"/>
                <w:bCs/>
                <w:sz w:val="24"/>
              </w:rPr>
              <w:t>上一年度财务报表审计报告，</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资产评估机构内部管理制度及执行情况说明（参考附2），</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质量控制体系制度及运行、变动情况的说明，</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资产评估师及管理人员情况表（参考附4），</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职业保险保单复印件（如有），</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资产评估机构及其执业人员执业行为处罚处理情况表（参考附5），</w:t>
            </w:r>
          </w:p>
          <w:p>
            <w:pPr>
              <w:numPr>
                <w:ilvl w:val="0"/>
                <w:numId w:val="6"/>
              </w:numPr>
              <w:rPr>
                <w:rFonts w:ascii="FangSong_GB2312" w:hAnsi="FangSong_GB2312" w:eastAsia="FangSong_GB2312" w:cs="FangSong_GB2312"/>
                <w:sz w:val="24"/>
              </w:rPr>
            </w:pPr>
            <w:r>
              <w:rPr>
                <w:rFonts w:hint="eastAsia" w:ascii="FangSong_GB2312" w:hAnsi="FangSong_GB2312" w:eastAsia="FangSong_GB2312" w:cs="FangSong_GB2312"/>
                <w:bCs/>
                <w:sz w:val="24"/>
              </w:rPr>
              <w:t>上一年度从事的证券服务业务清单（</w:t>
            </w:r>
            <w:r>
              <w:rPr>
                <w:rFonts w:hint="eastAsia" w:ascii="FangSong_GB2312" w:hAnsi="FangSong_GB2312" w:eastAsia="FangSong_GB2312" w:cs="FangSong_GB2312"/>
                <w:bCs/>
                <w:sz w:val="24"/>
                <w:lang w:eastAsia="zh-CN"/>
              </w:rPr>
              <w:t>参考</w:t>
            </w:r>
            <w:r>
              <w:rPr>
                <w:rFonts w:hint="eastAsia" w:ascii="FangSong_GB2312" w:hAnsi="FangSong_GB2312" w:eastAsia="FangSong_GB2312" w:cs="FangSong_GB2312"/>
                <w:bCs/>
                <w:sz w:val="24"/>
              </w:rPr>
              <w:t>附3），</w:t>
            </w:r>
          </w:p>
          <w:p>
            <w:pPr>
              <w:rPr>
                <w:rFonts w:ascii="FangSong_GB2312" w:hAnsi="FangSong_GB2312" w:eastAsia="FangSong_GB2312" w:cs="FangSong_GB2312"/>
                <w:sz w:val="24"/>
              </w:rPr>
            </w:pPr>
            <w:r>
              <w:rPr>
                <w:rFonts w:hint="eastAsia" w:ascii="FangSong_GB2312" w:hAnsi="FangSong_GB2312" w:eastAsia="FangSong_GB2312" w:cs="FangSong_GB2312"/>
                <w:sz w:val="24"/>
              </w:rPr>
              <w:t>财政部、证监会规定的其他重大事项。</w:t>
            </w:r>
          </w:p>
        </w:tc>
        <w:tc>
          <w:tcPr>
            <w:tcW w:w="6390" w:type="dxa"/>
            <w:gridSpan w:val="7"/>
            <w:vAlign w:val="center"/>
          </w:tcPr>
          <w:p>
            <w:pPr>
              <w:rPr>
                <w:rFonts w:ascii="FangSong_GB2312" w:hAnsi="FangSong_GB2312" w:eastAsia="FangSong_GB2312" w:cs="FangSong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08" w:hRule="atLeast"/>
          <w:jc w:val="center"/>
        </w:trPr>
        <w:tc>
          <w:tcPr>
            <w:tcW w:w="9705" w:type="dxa"/>
            <w:gridSpan w:val="11"/>
          </w:tcPr>
          <w:p>
            <w:pPr>
              <w:rPr>
                <w:rFonts w:ascii="FangSong_GB2312" w:hAnsi="FangSong_GB2312" w:eastAsia="FangSong_GB2312" w:cs="FangSong_GB2312"/>
                <w:sz w:val="24"/>
              </w:rPr>
            </w:pPr>
            <w:r>
              <w:rPr>
                <w:rFonts w:hint="eastAsia" w:ascii="FangSong_GB2312" w:hAnsi="FangSong_GB2312" w:eastAsia="FangSong_GB2312" w:cs="FangSong_GB2312"/>
                <w:sz w:val="24"/>
              </w:rPr>
              <w:t>本机构承诺提交的备案材料真实、准确、完整，不存在虚假记载、误导性陈述或者重大遗漏。</w:t>
            </w:r>
          </w:p>
          <w:p>
            <w:pPr>
              <w:rPr>
                <w:rFonts w:ascii="FangSong_GB2312" w:hAnsi="FangSong_GB2312" w:eastAsia="FangSong_GB2312" w:cs="FangSong_GB2312"/>
                <w:sz w:val="24"/>
              </w:rPr>
            </w:pPr>
          </w:p>
          <w:p>
            <w:pPr>
              <w:ind w:firstLine="720" w:firstLineChars="300"/>
              <w:jc w:val="left"/>
              <w:rPr>
                <w:rFonts w:ascii="FangSong_GB2312" w:hAnsi="FangSong_GB2312" w:eastAsia="FangSong_GB2312" w:cs="FangSong_GB2312"/>
                <w:sz w:val="24"/>
              </w:rPr>
            </w:pPr>
            <w:r>
              <w:rPr>
                <w:rFonts w:hint="eastAsia" w:ascii="FangSong_GB2312" w:hAnsi="FangSong_GB2312" w:eastAsia="FangSong_GB2312" w:cs="FangSong_GB2312"/>
                <w:sz w:val="24"/>
              </w:rPr>
              <w:t>法定代表人（执行合伙事务的合伙人）资产评估机构</w:t>
            </w:r>
          </w:p>
          <w:p>
            <w:pPr>
              <w:ind w:firstLine="1560" w:firstLineChars="650"/>
              <w:jc w:val="left"/>
              <w:rPr>
                <w:rFonts w:ascii="FangSong_GB2312" w:hAnsi="FangSong_GB2312" w:eastAsia="FangSong_GB2312" w:cs="FangSong_GB2312"/>
                <w:sz w:val="24"/>
              </w:rPr>
            </w:pPr>
            <w:r>
              <w:rPr>
                <w:rFonts w:hint="eastAsia" w:ascii="FangSong_GB2312" w:hAnsi="FangSong_GB2312" w:eastAsia="FangSong_GB2312" w:cs="FangSong_GB2312"/>
                <w:sz w:val="24"/>
              </w:rPr>
              <w:t>（签章）                      （盖章）</w:t>
            </w:r>
          </w:p>
          <w:p>
            <w:pPr>
              <w:ind w:left="1245" w:firstLine="1"/>
              <w:jc w:val="center"/>
              <w:rPr>
                <w:rFonts w:ascii="FangSong_GB2312" w:hAnsi="FangSong_GB2312" w:eastAsia="FangSong_GB2312" w:cs="FangSong_GB2312"/>
                <w:sz w:val="24"/>
              </w:rPr>
            </w:pPr>
            <w:r>
              <w:rPr>
                <w:rFonts w:hint="eastAsia" w:ascii="FangSong_GB2312" w:hAnsi="FangSong_GB2312" w:eastAsia="FangSong_GB2312" w:cs="FangSong_GB2312"/>
                <w:sz w:val="24"/>
              </w:rPr>
              <w:t xml:space="preserve">                                          年   月   日</w:t>
            </w:r>
          </w:p>
        </w:tc>
      </w:tr>
    </w:tbl>
    <w:p>
      <w:pPr>
        <w:rPr>
          <w:rFonts w:ascii="FangSong_GB2312" w:hAnsi="FangSong_GB2312" w:eastAsia="FangSong_GB2312" w:cs="FangSong_GB2312"/>
          <w:sz w:val="24"/>
        </w:rPr>
      </w:pPr>
      <w:r>
        <w:rPr>
          <w:rFonts w:hint="eastAsia" w:ascii="FangSong_GB2312" w:hAnsi="FangSong_GB2312" w:eastAsia="FangSong_GB2312" w:cs="FangSong_GB2312"/>
          <w:sz w:val="24"/>
        </w:rPr>
        <w:t>注：1.上年末员工总数、上年度末资产评估师总数、上年末净资产、上一年度资产评估业务收入、上一年度业务收入、上一年度证券服务业务收入、保险合同有效期内职业保险累计赔偿限额、累计职业风险基金、资产评估师与员工总数变动情况均包含分公司但不包含子公司。</w:t>
      </w:r>
    </w:p>
    <w:p>
      <w:pPr>
        <w:ind w:firstLine="480" w:firstLineChars="200"/>
        <w:rPr>
          <w:rFonts w:ascii="FangSong_GB2312" w:hAnsi="FangSong_GB2312" w:eastAsia="FangSong_GB2312" w:cs="FangSong_GB2312"/>
          <w:sz w:val="24"/>
        </w:rPr>
      </w:pPr>
      <w:r>
        <w:rPr>
          <w:rFonts w:hint="eastAsia" w:ascii="FangSong_GB2312" w:hAnsi="FangSong_GB2312" w:eastAsia="FangSong_GB2312" w:cs="FangSong_GB2312"/>
          <w:sz w:val="24"/>
        </w:rPr>
        <w:t>2.收入金额不含增值税。</w:t>
      </w:r>
    </w:p>
    <w:p>
      <w:pPr>
        <w:ind w:firstLine="480"/>
        <w:rPr>
          <w:rFonts w:ascii="FangSong_GB2312" w:hAnsi="FangSong_GB2312" w:eastAsia="FangSong_GB2312" w:cs="FangSong_GB2312"/>
          <w:bCs/>
          <w:sz w:val="24"/>
        </w:rPr>
      </w:pPr>
      <w:r>
        <w:rPr>
          <w:rFonts w:hint="eastAsia" w:ascii="FangSong_GB2312" w:hAnsi="FangSong_GB2312" w:eastAsia="FangSong_GB2312" w:cs="FangSong_GB2312"/>
          <w:sz w:val="24"/>
        </w:rPr>
        <w:t>3.</w:t>
      </w:r>
      <w:r>
        <w:rPr>
          <w:rFonts w:hint="eastAsia" w:ascii="FangSong_GB2312" w:hAnsi="FangSong_GB2312" w:eastAsia="FangSong_GB2312" w:cs="FangSong_GB2312"/>
          <w:bCs/>
          <w:sz w:val="24"/>
        </w:rPr>
        <w:t>电话应当包含固定电话和手机号码。</w:t>
      </w:r>
    </w:p>
    <w:p>
      <w:pPr>
        <w:ind w:firstLine="480"/>
        <w:rPr>
          <w:rFonts w:ascii="FangSong_GB2312" w:hAnsi="FangSong_GB2312" w:eastAsia="FangSong_GB2312" w:cs="FangSong_GB2312"/>
          <w:bCs/>
          <w:sz w:val="24"/>
        </w:rPr>
      </w:pPr>
      <w:r>
        <w:rPr>
          <w:rFonts w:hint="eastAsia" w:ascii="FangSong_GB2312" w:hAnsi="FangSong_GB2312" w:eastAsia="FangSong_GB2312" w:cs="FangSong_GB2312"/>
          <w:bCs/>
          <w:sz w:val="24"/>
        </w:rPr>
        <w:t>4.注册地填写到地级市。</w:t>
      </w:r>
    </w:p>
    <w:p>
      <w:pPr>
        <w:ind w:firstLine="480"/>
        <w:rPr>
          <w:rFonts w:ascii="FangSong_GB2312" w:hAnsi="FangSong_GB2312" w:eastAsia="FangSong_GB2312" w:cs="FangSong_GB2312"/>
          <w:sz w:val="32"/>
          <w:szCs w:val="32"/>
        </w:rPr>
      </w:pPr>
      <w:r>
        <w:rPr>
          <w:rFonts w:hint="eastAsia" w:ascii="FangSong_GB2312" w:hAnsi="FangSong_GB2312" w:eastAsia="FangSong_GB2312" w:cs="FangSong_GB2312"/>
          <w:bCs/>
          <w:sz w:val="24"/>
        </w:rPr>
        <w:t>5.分支机构包括分公司、子公司等。</w:t>
      </w:r>
    </w:p>
    <w:sectPr>
      <w:pgSz w:w="11906" w:h="16838"/>
      <w:pgMar w:top="1440" w:right="1417" w:bottom="1440" w:left="1417" w:header="851" w:footer="992" w:gutter="0"/>
      <w:cols w:space="0" w:num="1"/>
      <w:docGrid w:type="lines" w:linePitch="32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0000019F" w:csb1="00000000"/>
  </w:font>
  <w:font w:name="SimHei">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FangSong_GB2312">
    <w:panose1 w:val="02010609030101010101"/>
    <w:charset w:val="86"/>
    <w:family w:val="modern"/>
    <w:pitch w:val="default"/>
    <w:sig w:usb0="00000001" w:usb1="080E0000" w:usb2="00000000" w:usb3="00000000" w:csb0="00040000" w:csb1="00000000"/>
  </w:font>
  <w:font w:name="FangSong">
    <w:panose1 w:val="02010609060101010101"/>
    <w:charset w:val="86"/>
    <w:family w:val="modern"/>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2RfsRwCAAAnBAAADgAAAAAAAAABACAAAAA1AQAAZHJzL2Uyb0RvYy54bWxQSwUG&#10;AAAAAAYABgBZAQAAwwUAAAAA&#10;">
              <v:fill on="f" focussize="0,0"/>
              <v:stroke on="f" weight="0.5pt"/>
              <v:imagedata o:title=""/>
              <o:lock v:ext="edit" aspectratio="f"/>
              <v:textbox inset="0mm,0mm,0mm,0mm" style="mso-fit-shape-to-text:t;">
                <w:txbxContent>
                  <w:p>
                    <w:pPr>
                      <w:pStyle w:val="6"/>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F7rpKxYCAAAZBAAADgAAAAAAAAABACAAAAA1AQAAZHJzL2Uyb0RvYy54bWxQSwUGAAAAAAYA&#10;BgBZAQAAvQU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Text Box 1025"/>
              <wp:cNvGraphicFramePr/>
              <a:graphic xmlns:a="http://schemas.openxmlformats.org/drawingml/2006/main">
                <a:graphicData uri="http://schemas.microsoft.com/office/word/2010/wordprocessingShape">
                  <wps:wsp>
                    <wps:cNvSpPr txBox="true">
                      <a:spLocks noChangeArrowheads="true"/>
                    </wps:cNvSpPr>
                    <wps:spPr bwMode="auto">
                      <a:xfrm>
                        <a:off x="0" y="0"/>
                        <a:ext cx="58420" cy="139700"/>
                      </a:xfrm>
                      <a:prstGeom prst="rect">
                        <a:avLst/>
                      </a:prstGeom>
                      <a:noFill/>
                      <a:ln>
                        <a:noFill/>
                      </a:ln>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vert="horz" wrap="none" lIns="0" tIns="0" rIns="0" bIns="0" anchor="t" anchorCtr="false" upright="true">
                      <a:spAutoFit/>
                    </wps:bodyPr>
                  </wps:wsp>
                </a:graphicData>
              </a:graphic>
            </wp:anchor>
          </w:drawing>
        </mc:Choice>
        <mc:Fallback>
          <w:pict>
            <v:shape id="Text Box 1025" o:spid="_x0000_s1026" o:spt="202" type="#_x0000_t202" style="position:absolute;left:0pt;margin-top:0pt;height:11pt;width:4.6pt;mso-position-horizontal:center;mso-position-horizontal-relative:margin;mso-wrap-style:none;z-index:251660288;mso-width-relative:page;mso-height-relative:page;" filled="f" stroked="f" coordsize="21600,21600" o:gfxdata="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WAAAAZHJzL1BLAQIUABQA&#10;AAAIAIdO4kDLW7l30AAAAAIBAAAPAAAAAAAAAAEAIAAAADgAAABkcnMvZG93bnJldi54bWxQSwEC&#10;FAAUAAAACACHTuJA/ogzwOYBAADCAwAADgAAAAAAAAABACAAAAA1AQAAZHJzL2Uyb0RvYy54bWxQ&#10;SwUGAAAAAAYABgBZAQAAjQUAAAAA&#10;">
              <v:fill on="f" focussize="0,0"/>
              <v:stroke on="f"/>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0E50A8"/>
    <w:multiLevelType w:val="singleLevel"/>
    <w:tmpl w:val="DC0E50A8"/>
    <w:lvl w:ilvl="0" w:tentative="0">
      <w:start w:val="1"/>
      <w:numFmt w:val="decimal"/>
      <w:lvlText w:val="%1."/>
      <w:lvlJc w:val="left"/>
      <w:pPr>
        <w:tabs>
          <w:tab w:val="left" w:pos="312"/>
        </w:tabs>
      </w:pPr>
    </w:lvl>
  </w:abstractNum>
  <w:abstractNum w:abstractNumId="1">
    <w:nsid w:val="DEF7935B"/>
    <w:multiLevelType w:val="singleLevel"/>
    <w:tmpl w:val="DEF7935B"/>
    <w:lvl w:ilvl="0" w:tentative="0">
      <w:start w:val="4"/>
      <w:numFmt w:val="chineseCounting"/>
      <w:suff w:val="nothing"/>
      <w:lvlText w:val="（%1）"/>
      <w:lvlJc w:val="left"/>
      <w:rPr>
        <w:rFonts w:hint="eastAsia"/>
      </w:rPr>
    </w:lvl>
  </w:abstractNum>
  <w:abstractNum w:abstractNumId="2">
    <w:nsid w:val="DF8FA87B"/>
    <w:multiLevelType w:val="singleLevel"/>
    <w:tmpl w:val="DF8FA87B"/>
    <w:lvl w:ilvl="0" w:tentative="0">
      <w:start w:val="7"/>
      <w:numFmt w:val="decimal"/>
      <w:lvlText w:val="%1."/>
      <w:lvlJc w:val="left"/>
      <w:pPr>
        <w:tabs>
          <w:tab w:val="left" w:pos="312"/>
        </w:tabs>
      </w:pPr>
    </w:lvl>
  </w:abstractNum>
  <w:abstractNum w:abstractNumId="3">
    <w:nsid w:val="634A658A"/>
    <w:multiLevelType w:val="multilevel"/>
    <w:tmpl w:val="634A658A"/>
    <w:lvl w:ilvl="0" w:tentative="0">
      <w:start w:val="1"/>
      <w:numFmt w:val="japaneseCounting"/>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6FFA0BC5"/>
    <w:multiLevelType w:val="singleLevel"/>
    <w:tmpl w:val="6FFA0BC5"/>
    <w:lvl w:ilvl="0" w:tentative="0">
      <w:start w:val="1"/>
      <w:numFmt w:val="chineseCounting"/>
      <w:lvlText w:val="（%1）"/>
      <w:lvlJc w:val="left"/>
      <w:rPr>
        <w:rFonts w:hint="eastAsia"/>
      </w:rPr>
    </w:lvl>
  </w:abstractNum>
  <w:abstractNum w:abstractNumId="5">
    <w:nsid w:val="7FFCA0A2"/>
    <w:multiLevelType w:val="singleLevel"/>
    <w:tmpl w:val="7FFCA0A2"/>
    <w:lvl w:ilvl="0" w:tentative="0">
      <w:start w:val="1"/>
      <w:numFmt w:val="chineseCounting"/>
      <w:suff w:val="nothing"/>
      <w:lvlText w:val="（%1）"/>
      <w:lvlJc w:val="left"/>
      <w:rPr>
        <w:rFonts w:hint="eastAsia"/>
      </w:r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true"/>
  <w:bordersDoNotSurroundFooter w:val="true"/>
  <w:documentProtection w:edit="readOnly" w:enforcement="0"/>
  <w:defaultTabStop w:val="420"/>
  <w:drawingGridVerticalSpacing w:val="162"/>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593"/>
    <w:rsid w:val="00012677"/>
    <w:rsid w:val="00020C69"/>
    <w:rsid w:val="00030D4C"/>
    <w:rsid w:val="0006496F"/>
    <w:rsid w:val="00067079"/>
    <w:rsid w:val="00067144"/>
    <w:rsid w:val="000719ED"/>
    <w:rsid w:val="00096510"/>
    <w:rsid w:val="000C05FF"/>
    <w:rsid w:val="000C0F3A"/>
    <w:rsid w:val="000E4A33"/>
    <w:rsid w:val="000F460F"/>
    <w:rsid w:val="000F4D26"/>
    <w:rsid w:val="000F7372"/>
    <w:rsid w:val="00101474"/>
    <w:rsid w:val="001041A0"/>
    <w:rsid w:val="00112942"/>
    <w:rsid w:val="00114F00"/>
    <w:rsid w:val="00130F56"/>
    <w:rsid w:val="0014021E"/>
    <w:rsid w:val="0014203C"/>
    <w:rsid w:val="0014328A"/>
    <w:rsid w:val="00161DE7"/>
    <w:rsid w:val="0016205A"/>
    <w:rsid w:val="00190460"/>
    <w:rsid w:val="001A0127"/>
    <w:rsid w:val="001B77A2"/>
    <w:rsid w:val="001C0CFC"/>
    <w:rsid w:val="001C18BF"/>
    <w:rsid w:val="001E19E8"/>
    <w:rsid w:val="001E32BF"/>
    <w:rsid w:val="001F04C9"/>
    <w:rsid w:val="001F0C23"/>
    <w:rsid w:val="001F532B"/>
    <w:rsid w:val="00206404"/>
    <w:rsid w:val="00230B1C"/>
    <w:rsid w:val="0027334E"/>
    <w:rsid w:val="00274150"/>
    <w:rsid w:val="002858D0"/>
    <w:rsid w:val="00290603"/>
    <w:rsid w:val="002934A0"/>
    <w:rsid w:val="002947A1"/>
    <w:rsid w:val="002B4AD0"/>
    <w:rsid w:val="002B4EF5"/>
    <w:rsid w:val="002D1D06"/>
    <w:rsid w:val="002F121E"/>
    <w:rsid w:val="002F1902"/>
    <w:rsid w:val="002F538B"/>
    <w:rsid w:val="00314E9A"/>
    <w:rsid w:val="003564BF"/>
    <w:rsid w:val="00363499"/>
    <w:rsid w:val="00371DAC"/>
    <w:rsid w:val="00376223"/>
    <w:rsid w:val="0038032B"/>
    <w:rsid w:val="00384B00"/>
    <w:rsid w:val="00386CC6"/>
    <w:rsid w:val="0039354A"/>
    <w:rsid w:val="003A0B13"/>
    <w:rsid w:val="003A198D"/>
    <w:rsid w:val="003B6DD6"/>
    <w:rsid w:val="003D0C99"/>
    <w:rsid w:val="00400964"/>
    <w:rsid w:val="00411FE6"/>
    <w:rsid w:val="00412D5B"/>
    <w:rsid w:val="004137E3"/>
    <w:rsid w:val="00414F6B"/>
    <w:rsid w:val="0042008E"/>
    <w:rsid w:val="00422F34"/>
    <w:rsid w:val="004374B1"/>
    <w:rsid w:val="0044313C"/>
    <w:rsid w:val="00454779"/>
    <w:rsid w:val="00455AB0"/>
    <w:rsid w:val="00455BAF"/>
    <w:rsid w:val="00460245"/>
    <w:rsid w:val="004727BC"/>
    <w:rsid w:val="00482E5E"/>
    <w:rsid w:val="004857D7"/>
    <w:rsid w:val="00487E70"/>
    <w:rsid w:val="00495C95"/>
    <w:rsid w:val="00497C57"/>
    <w:rsid w:val="004B65DC"/>
    <w:rsid w:val="004C4859"/>
    <w:rsid w:val="004D044F"/>
    <w:rsid w:val="004E415D"/>
    <w:rsid w:val="004E44D2"/>
    <w:rsid w:val="00505EFD"/>
    <w:rsid w:val="005133B1"/>
    <w:rsid w:val="00520295"/>
    <w:rsid w:val="00522C9A"/>
    <w:rsid w:val="00524EB9"/>
    <w:rsid w:val="00527CDD"/>
    <w:rsid w:val="005314F2"/>
    <w:rsid w:val="005436F7"/>
    <w:rsid w:val="00545750"/>
    <w:rsid w:val="00551955"/>
    <w:rsid w:val="00551CBA"/>
    <w:rsid w:val="00552ADD"/>
    <w:rsid w:val="0057380D"/>
    <w:rsid w:val="00582188"/>
    <w:rsid w:val="00586599"/>
    <w:rsid w:val="005954AA"/>
    <w:rsid w:val="005A79D9"/>
    <w:rsid w:val="005E5715"/>
    <w:rsid w:val="005E5A01"/>
    <w:rsid w:val="005E63E0"/>
    <w:rsid w:val="005E653A"/>
    <w:rsid w:val="0061471C"/>
    <w:rsid w:val="00636C0D"/>
    <w:rsid w:val="00643167"/>
    <w:rsid w:val="006532AA"/>
    <w:rsid w:val="00653960"/>
    <w:rsid w:val="00670267"/>
    <w:rsid w:val="0068617B"/>
    <w:rsid w:val="006A76AF"/>
    <w:rsid w:val="006B224B"/>
    <w:rsid w:val="006B7F2E"/>
    <w:rsid w:val="006C511A"/>
    <w:rsid w:val="006E62C0"/>
    <w:rsid w:val="006F7E50"/>
    <w:rsid w:val="00712D5C"/>
    <w:rsid w:val="00723D2C"/>
    <w:rsid w:val="00727329"/>
    <w:rsid w:val="007322B9"/>
    <w:rsid w:val="00750DE2"/>
    <w:rsid w:val="007517EF"/>
    <w:rsid w:val="007555F0"/>
    <w:rsid w:val="00756C7B"/>
    <w:rsid w:val="0077054C"/>
    <w:rsid w:val="0079171A"/>
    <w:rsid w:val="0079227E"/>
    <w:rsid w:val="007B2DE2"/>
    <w:rsid w:val="007B3706"/>
    <w:rsid w:val="007C2C04"/>
    <w:rsid w:val="007D4D7A"/>
    <w:rsid w:val="007E1FDB"/>
    <w:rsid w:val="007E5856"/>
    <w:rsid w:val="007E646C"/>
    <w:rsid w:val="007E7218"/>
    <w:rsid w:val="00807526"/>
    <w:rsid w:val="00810586"/>
    <w:rsid w:val="0081112E"/>
    <w:rsid w:val="008120B7"/>
    <w:rsid w:val="008303DA"/>
    <w:rsid w:val="0083049D"/>
    <w:rsid w:val="00832B96"/>
    <w:rsid w:val="008330F9"/>
    <w:rsid w:val="00851370"/>
    <w:rsid w:val="0086469B"/>
    <w:rsid w:val="0086621E"/>
    <w:rsid w:val="00875DCB"/>
    <w:rsid w:val="0087717C"/>
    <w:rsid w:val="00882CCE"/>
    <w:rsid w:val="008A5101"/>
    <w:rsid w:val="008A6126"/>
    <w:rsid w:val="008B38A0"/>
    <w:rsid w:val="008B5699"/>
    <w:rsid w:val="008C4EDB"/>
    <w:rsid w:val="008D3268"/>
    <w:rsid w:val="008E7634"/>
    <w:rsid w:val="008F4324"/>
    <w:rsid w:val="00902FED"/>
    <w:rsid w:val="00904520"/>
    <w:rsid w:val="00932E48"/>
    <w:rsid w:val="00934B9D"/>
    <w:rsid w:val="00940BDD"/>
    <w:rsid w:val="00940EBB"/>
    <w:rsid w:val="009411E4"/>
    <w:rsid w:val="00957D0F"/>
    <w:rsid w:val="009623B7"/>
    <w:rsid w:val="009637CB"/>
    <w:rsid w:val="00970530"/>
    <w:rsid w:val="00975272"/>
    <w:rsid w:val="00986593"/>
    <w:rsid w:val="00993B7D"/>
    <w:rsid w:val="009B3C5C"/>
    <w:rsid w:val="009C5CA5"/>
    <w:rsid w:val="009C63F7"/>
    <w:rsid w:val="009D754A"/>
    <w:rsid w:val="009E5C24"/>
    <w:rsid w:val="009F4718"/>
    <w:rsid w:val="00A13433"/>
    <w:rsid w:val="00A13AFD"/>
    <w:rsid w:val="00A13D79"/>
    <w:rsid w:val="00A23209"/>
    <w:rsid w:val="00A25942"/>
    <w:rsid w:val="00A3794C"/>
    <w:rsid w:val="00A43E7E"/>
    <w:rsid w:val="00A63EA4"/>
    <w:rsid w:val="00A65EC8"/>
    <w:rsid w:val="00A77C80"/>
    <w:rsid w:val="00A86769"/>
    <w:rsid w:val="00A92537"/>
    <w:rsid w:val="00A932C7"/>
    <w:rsid w:val="00AB0BB5"/>
    <w:rsid w:val="00AC204D"/>
    <w:rsid w:val="00AC528C"/>
    <w:rsid w:val="00AE5069"/>
    <w:rsid w:val="00AF0728"/>
    <w:rsid w:val="00AF0D68"/>
    <w:rsid w:val="00B0122D"/>
    <w:rsid w:val="00B073B2"/>
    <w:rsid w:val="00B151CB"/>
    <w:rsid w:val="00B469E0"/>
    <w:rsid w:val="00B501CF"/>
    <w:rsid w:val="00B556CD"/>
    <w:rsid w:val="00B61214"/>
    <w:rsid w:val="00B63A0A"/>
    <w:rsid w:val="00B63BAD"/>
    <w:rsid w:val="00B65695"/>
    <w:rsid w:val="00B669EF"/>
    <w:rsid w:val="00BA571B"/>
    <w:rsid w:val="00BB72A1"/>
    <w:rsid w:val="00BC347C"/>
    <w:rsid w:val="00BE2F5F"/>
    <w:rsid w:val="00BF07EA"/>
    <w:rsid w:val="00BF3005"/>
    <w:rsid w:val="00BF5277"/>
    <w:rsid w:val="00C11BFF"/>
    <w:rsid w:val="00C13D31"/>
    <w:rsid w:val="00C2040F"/>
    <w:rsid w:val="00C752E9"/>
    <w:rsid w:val="00C76411"/>
    <w:rsid w:val="00C8046D"/>
    <w:rsid w:val="00C9354F"/>
    <w:rsid w:val="00CA193A"/>
    <w:rsid w:val="00CA3575"/>
    <w:rsid w:val="00CB75E6"/>
    <w:rsid w:val="00CD1B0C"/>
    <w:rsid w:val="00CE1D8E"/>
    <w:rsid w:val="00CF19B3"/>
    <w:rsid w:val="00CF1DC5"/>
    <w:rsid w:val="00D02BEF"/>
    <w:rsid w:val="00D11BBD"/>
    <w:rsid w:val="00D20DED"/>
    <w:rsid w:val="00D2329C"/>
    <w:rsid w:val="00D26ED2"/>
    <w:rsid w:val="00D5180F"/>
    <w:rsid w:val="00D72830"/>
    <w:rsid w:val="00D83D84"/>
    <w:rsid w:val="00D853D9"/>
    <w:rsid w:val="00D9626F"/>
    <w:rsid w:val="00DA6BE7"/>
    <w:rsid w:val="00DC2ACB"/>
    <w:rsid w:val="00DD426B"/>
    <w:rsid w:val="00DF0483"/>
    <w:rsid w:val="00DF3581"/>
    <w:rsid w:val="00E12793"/>
    <w:rsid w:val="00E1312E"/>
    <w:rsid w:val="00E33E8D"/>
    <w:rsid w:val="00E60083"/>
    <w:rsid w:val="00E66C8C"/>
    <w:rsid w:val="00E71288"/>
    <w:rsid w:val="00E856FC"/>
    <w:rsid w:val="00EA1539"/>
    <w:rsid w:val="00EA71B4"/>
    <w:rsid w:val="00EB1FFA"/>
    <w:rsid w:val="00EB635F"/>
    <w:rsid w:val="00EB6FF9"/>
    <w:rsid w:val="00EC03D4"/>
    <w:rsid w:val="00ED12E5"/>
    <w:rsid w:val="00ED3984"/>
    <w:rsid w:val="00ED49AE"/>
    <w:rsid w:val="00ED533C"/>
    <w:rsid w:val="00EF412A"/>
    <w:rsid w:val="00EF6191"/>
    <w:rsid w:val="00F00422"/>
    <w:rsid w:val="00F008E7"/>
    <w:rsid w:val="00F015F3"/>
    <w:rsid w:val="00F1527B"/>
    <w:rsid w:val="00F27344"/>
    <w:rsid w:val="00F32DCC"/>
    <w:rsid w:val="00F364DD"/>
    <w:rsid w:val="00F4024B"/>
    <w:rsid w:val="00F45925"/>
    <w:rsid w:val="00F51803"/>
    <w:rsid w:val="00F73FD3"/>
    <w:rsid w:val="00FB475D"/>
    <w:rsid w:val="00FB7A2C"/>
    <w:rsid w:val="00FC5ED6"/>
    <w:rsid w:val="00FD38D1"/>
    <w:rsid w:val="00FE1FD0"/>
    <w:rsid w:val="00FE2052"/>
    <w:rsid w:val="00FF00F5"/>
    <w:rsid w:val="00FF2C62"/>
    <w:rsid w:val="00FF69E9"/>
    <w:rsid w:val="02121995"/>
    <w:rsid w:val="03673EF0"/>
    <w:rsid w:val="05A305EA"/>
    <w:rsid w:val="077607DA"/>
    <w:rsid w:val="08A5595C"/>
    <w:rsid w:val="09F164FE"/>
    <w:rsid w:val="0C820073"/>
    <w:rsid w:val="0F17351B"/>
    <w:rsid w:val="0F9FA9D0"/>
    <w:rsid w:val="10AD25BC"/>
    <w:rsid w:val="14265BDF"/>
    <w:rsid w:val="14595182"/>
    <w:rsid w:val="15CB2ED7"/>
    <w:rsid w:val="1AD664E5"/>
    <w:rsid w:val="1BD23F2C"/>
    <w:rsid w:val="1BFD88E7"/>
    <w:rsid w:val="1E070AA0"/>
    <w:rsid w:val="1ED47A4E"/>
    <w:rsid w:val="223B0D06"/>
    <w:rsid w:val="225E47A6"/>
    <w:rsid w:val="22FE4866"/>
    <w:rsid w:val="27BE18AD"/>
    <w:rsid w:val="28D278E6"/>
    <w:rsid w:val="2B7BC7AC"/>
    <w:rsid w:val="2EBE56E8"/>
    <w:rsid w:val="2FDB59BF"/>
    <w:rsid w:val="2FEF298D"/>
    <w:rsid w:val="31016463"/>
    <w:rsid w:val="31B14825"/>
    <w:rsid w:val="323D0440"/>
    <w:rsid w:val="33BE049C"/>
    <w:rsid w:val="34FDBCF5"/>
    <w:rsid w:val="355150C2"/>
    <w:rsid w:val="35AF7A78"/>
    <w:rsid w:val="36287B9D"/>
    <w:rsid w:val="37579245"/>
    <w:rsid w:val="379C576C"/>
    <w:rsid w:val="37CC3407"/>
    <w:rsid w:val="37FE581B"/>
    <w:rsid w:val="37FF6824"/>
    <w:rsid w:val="39B59CA1"/>
    <w:rsid w:val="39CD4418"/>
    <w:rsid w:val="3ADFF2B8"/>
    <w:rsid w:val="3B2F1B87"/>
    <w:rsid w:val="3BA64CFC"/>
    <w:rsid w:val="3BBFA985"/>
    <w:rsid w:val="3CC42F83"/>
    <w:rsid w:val="3CE9FED6"/>
    <w:rsid w:val="3ECF7768"/>
    <w:rsid w:val="41077950"/>
    <w:rsid w:val="45191836"/>
    <w:rsid w:val="47FF9466"/>
    <w:rsid w:val="4B73A00D"/>
    <w:rsid w:val="4B7D5D38"/>
    <w:rsid w:val="4F5F63C4"/>
    <w:rsid w:val="4FB7341A"/>
    <w:rsid w:val="50DF34AD"/>
    <w:rsid w:val="5126575D"/>
    <w:rsid w:val="51CF256B"/>
    <w:rsid w:val="53CEFC72"/>
    <w:rsid w:val="56CA4776"/>
    <w:rsid w:val="576E181A"/>
    <w:rsid w:val="577B9CC4"/>
    <w:rsid w:val="57DFB062"/>
    <w:rsid w:val="57EA06CE"/>
    <w:rsid w:val="57F7CFEB"/>
    <w:rsid w:val="58693658"/>
    <w:rsid w:val="595E5EB2"/>
    <w:rsid w:val="5A71467A"/>
    <w:rsid w:val="5A88645D"/>
    <w:rsid w:val="5AED5C2D"/>
    <w:rsid w:val="5BBE15A3"/>
    <w:rsid w:val="5BCB5CF0"/>
    <w:rsid w:val="5BD617E5"/>
    <w:rsid w:val="5BD7F30E"/>
    <w:rsid w:val="5C270B97"/>
    <w:rsid w:val="5CBB2DE8"/>
    <w:rsid w:val="5D278DCD"/>
    <w:rsid w:val="5D79EB55"/>
    <w:rsid w:val="5DFF404F"/>
    <w:rsid w:val="5EF55837"/>
    <w:rsid w:val="5EFBB19C"/>
    <w:rsid w:val="5EFF7F32"/>
    <w:rsid w:val="5F5F153B"/>
    <w:rsid w:val="5F779F8C"/>
    <w:rsid w:val="5F9ACB71"/>
    <w:rsid w:val="5FD1134A"/>
    <w:rsid w:val="5FFD3ABF"/>
    <w:rsid w:val="64A5D2B2"/>
    <w:rsid w:val="663FA9A3"/>
    <w:rsid w:val="66FFEF6D"/>
    <w:rsid w:val="67145289"/>
    <w:rsid w:val="679C463C"/>
    <w:rsid w:val="6979C138"/>
    <w:rsid w:val="698E026C"/>
    <w:rsid w:val="6B7E4BFE"/>
    <w:rsid w:val="6BBFF559"/>
    <w:rsid w:val="6BEF4086"/>
    <w:rsid w:val="6CB5230D"/>
    <w:rsid w:val="6CE724BF"/>
    <w:rsid w:val="6DFF4A4D"/>
    <w:rsid w:val="6E9D919E"/>
    <w:rsid w:val="6F6E13F9"/>
    <w:rsid w:val="6FAF02D1"/>
    <w:rsid w:val="6FBE377C"/>
    <w:rsid w:val="6FBFF937"/>
    <w:rsid w:val="6FFF30DC"/>
    <w:rsid w:val="6FFFBCE0"/>
    <w:rsid w:val="71E1B7C8"/>
    <w:rsid w:val="73DE34B2"/>
    <w:rsid w:val="752B0874"/>
    <w:rsid w:val="75C7EBB9"/>
    <w:rsid w:val="775C7B73"/>
    <w:rsid w:val="77BB2F65"/>
    <w:rsid w:val="77BC9A96"/>
    <w:rsid w:val="77FBDA81"/>
    <w:rsid w:val="77FF70DB"/>
    <w:rsid w:val="7AB6DC35"/>
    <w:rsid w:val="7ABB31FB"/>
    <w:rsid w:val="7BA3AA34"/>
    <w:rsid w:val="7BB47AE7"/>
    <w:rsid w:val="7BBFCA03"/>
    <w:rsid w:val="7BDF6C56"/>
    <w:rsid w:val="7BFF2F33"/>
    <w:rsid w:val="7BFFED79"/>
    <w:rsid w:val="7C7FDA94"/>
    <w:rsid w:val="7CBD0207"/>
    <w:rsid w:val="7CBEC18E"/>
    <w:rsid w:val="7CBFD626"/>
    <w:rsid w:val="7D65211F"/>
    <w:rsid w:val="7D77CA55"/>
    <w:rsid w:val="7D7BD64B"/>
    <w:rsid w:val="7DFB0BB0"/>
    <w:rsid w:val="7DFFEE6C"/>
    <w:rsid w:val="7E1F0429"/>
    <w:rsid w:val="7E6B97B4"/>
    <w:rsid w:val="7E75FDF5"/>
    <w:rsid w:val="7E7F0DF1"/>
    <w:rsid w:val="7E84F214"/>
    <w:rsid w:val="7E94049A"/>
    <w:rsid w:val="7EBB59F3"/>
    <w:rsid w:val="7EBE0F17"/>
    <w:rsid w:val="7EF6E266"/>
    <w:rsid w:val="7EF78C7B"/>
    <w:rsid w:val="7F4F3601"/>
    <w:rsid w:val="7F762792"/>
    <w:rsid w:val="7F7BA05F"/>
    <w:rsid w:val="7F7F1BB3"/>
    <w:rsid w:val="7F7FD2BB"/>
    <w:rsid w:val="7FACCCD5"/>
    <w:rsid w:val="7FAF3D11"/>
    <w:rsid w:val="7FB75435"/>
    <w:rsid w:val="7FBFDE35"/>
    <w:rsid w:val="7FDBAB0D"/>
    <w:rsid w:val="7FEB9696"/>
    <w:rsid w:val="7FED3A77"/>
    <w:rsid w:val="7FEE17A3"/>
    <w:rsid w:val="7FEF58EB"/>
    <w:rsid w:val="7FFA00A1"/>
    <w:rsid w:val="7FFB548C"/>
    <w:rsid w:val="7FFD8476"/>
    <w:rsid w:val="7FFF13A3"/>
    <w:rsid w:val="7FFF5E3E"/>
    <w:rsid w:val="7FFF98B5"/>
    <w:rsid w:val="8FDE3B99"/>
    <w:rsid w:val="8FF7A3DC"/>
    <w:rsid w:val="94FF5DED"/>
    <w:rsid w:val="97D78BE2"/>
    <w:rsid w:val="9FEB05AF"/>
    <w:rsid w:val="9FFF311F"/>
    <w:rsid w:val="A3F732B3"/>
    <w:rsid w:val="A6EFE181"/>
    <w:rsid w:val="A7D7A67E"/>
    <w:rsid w:val="AB086A69"/>
    <w:rsid w:val="ADE791F8"/>
    <w:rsid w:val="AF3C56D2"/>
    <w:rsid w:val="AF7EB2F7"/>
    <w:rsid w:val="AFF423C2"/>
    <w:rsid w:val="B39372B0"/>
    <w:rsid w:val="B3C36A14"/>
    <w:rsid w:val="B467DDF5"/>
    <w:rsid w:val="B5963D9B"/>
    <w:rsid w:val="B67703A3"/>
    <w:rsid w:val="B7EB6470"/>
    <w:rsid w:val="B97E9120"/>
    <w:rsid w:val="BAEFE286"/>
    <w:rsid w:val="BBF72674"/>
    <w:rsid w:val="BBFB25A6"/>
    <w:rsid w:val="BDC7CF1C"/>
    <w:rsid w:val="BDDEFE2C"/>
    <w:rsid w:val="BDEFB0B2"/>
    <w:rsid w:val="BDFAB43B"/>
    <w:rsid w:val="BE1E2903"/>
    <w:rsid w:val="BEBEC9AF"/>
    <w:rsid w:val="BEFFB25F"/>
    <w:rsid w:val="BF3E3FC7"/>
    <w:rsid w:val="BF9F961F"/>
    <w:rsid w:val="BFDD25D4"/>
    <w:rsid w:val="BFE5518F"/>
    <w:rsid w:val="BFEF24D5"/>
    <w:rsid w:val="BFF68D30"/>
    <w:rsid w:val="BFF8F73F"/>
    <w:rsid w:val="BFFF08C9"/>
    <w:rsid w:val="C7F241E2"/>
    <w:rsid w:val="C7FF8991"/>
    <w:rsid w:val="CA69D496"/>
    <w:rsid w:val="CAFFE6FB"/>
    <w:rsid w:val="CFFCBBF7"/>
    <w:rsid w:val="D13252C1"/>
    <w:rsid w:val="D37769F9"/>
    <w:rsid w:val="D5969986"/>
    <w:rsid w:val="D76EE678"/>
    <w:rsid w:val="D7EE1FD2"/>
    <w:rsid w:val="D7FF1252"/>
    <w:rsid w:val="D9F74ED0"/>
    <w:rsid w:val="DADD63DC"/>
    <w:rsid w:val="DAF69BD8"/>
    <w:rsid w:val="DB3FEE94"/>
    <w:rsid w:val="DB5F074D"/>
    <w:rsid w:val="DCE478DB"/>
    <w:rsid w:val="DD6E8D5E"/>
    <w:rsid w:val="DDD1914B"/>
    <w:rsid w:val="DDDEC75B"/>
    <w:rsid w:val="DEF64EAF"/>
    <w:rsid w:val="DF1EB47C"/>
    <w:rsid w:val="DF6B3FCE"/>
    <w:rsid w:val="DFBB2AA7"/>
    <w:rsid w:val="DFDF946A"/>
    <w:rsid w:val="DFFE2447"/>
    <w:rsid w:val="E5FEE9F9"/>
    <w:rsid w:val="E6EB51BB"/>
    <w:rsid w:val="E71EC640"/>
    <w:rsid w:val="E7B170DC"/>
    <w:rsid w:val="E7C219AB"/>
    <w:rsid w:val="E7FE0844"/>
    <w:rsid w:val="EA87E0D4"/>
    <w:rsid w:val="ECDBB87D"/>
    <w:rsid w:val="ED77C82F"/>
    <w:rsid w:val="EDDCFF6D"/>
    <w:rsid w:val="EE678DEA"/>
    <w:rsid w:val="EF3AD892"/>
    <w:rsid w:val="EF6BCEDE"/>
    <w:rsid w:val="EF7BD77C"/>
    <w:rsid w:val="EFF1AD55"/>
    <w:rsid w:val="EFFE6B50"/>
    <w:rsid w:val="EFFE969C"/>
    <w:rsid w:val="EFFF4844"/>
    <w:rsid w:val="F1BA809A"/>
    <w:rsid w:val="F37BCC78"/>
    <w:rsid w:val="F547A2C5"/>
    <w:rsid w:val="F5B715AD"/>
    <w:rsid w:val="F5BDFFC8"/>
    <w:rsid w:val="F67F5B6F"/>
    <w:rsid w:val="F6CD9C96"/>
    <w:rsid w:val="F6EE469F"/>
    <w:rsid w:val="F76E6A9F"/>
    <w:rsid w:val="F976E672"/>
    <w:rsid w:val="FA6B7F84"/>
    <w:rsid w:val="FB720DDD"/>
    <w:rsid w:val="FBD56269"/>
    <w:rsid w:val="FBE7AAC4"/>
    <w:rsid w:val="FBFBA6CE"/>
    <w:rsid w:val="FCEA9129"/>
    <w:rsid w:val="FCED66FE"/>
    <w:rsid w:val="FD71EABF"/>
    <w:rsid w:val="FDBBD14F"/>
    <w:rsid w:val="FDD36E83"/>
    <w:rsid w:val="FDD7261B"/>
    <w:rsid w:val="FDFFECCD"/>
    <w:rsid w:val="FDFFFA7E"/>
    <w:rsid w:val="FE3DB0B5"/>
    <w:rsid w:val="FE3F9234"/>
    <w:rsid w:val="FE3FD2D8"/>
    <w:rsid w:val="FE77DC77"/>
    <w:rsid w:val="FEFBD032"/>
    <w:rsid w:val="FEFEA177"/>
    <w:rsid w:val="FEFF4661"/>
    <w:rsid w:val="FF312CF6"/>
    <w:rsid w:val="FF371800"/>
    <w:rsid w:val="FF37E948"/>
    <w:rsid w:val="FF5B09DA"/>
    <w:rsid w:val="FF5E540A"/>
    <w:rsid w:val="FF64FFA9"/>
    <w:rsid w:val="FF7AB1F1"/>
    <w:rsid w:val="FF7D0E0E"/>
    <w:rsid w:val="FF930D95"/>
    <w:rsid w:val="FFBD48F4"/>
    <w:rsid w:val="FFBEEB5E"/>
    <w:rsid w:val="FFBFF68F"/>
    <w:rsid w:val="FFC7A619"/>
    <w:rsid w:val="FFDF838F"/>
    <w:rsid w:val="FFE6FBAA"/>
    <w:rsid w:val="FFE7B986"/>
    <w:rsid w:val="FFECEA04"/>
    <w:rsid w:val="FFF66BCF"/>
    <w:rsid w:val="FFF74916"/>
    <w:rsid w:val="FFFB6F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cs="Times New Roman"/>
      <w:b/>
      <w:kern w:val="44"/>
      <w:sz w:val="48"/>
      <w:szCs w:val="48"/>
    </w:rPr>
  </w:style>
  <w:style w:type="paragraph" w:styleId="3">
    <w:name w:val="heading 2"/>
    <w:basedOn w:val="1"/>
    <w:next w:val="1"/>
    <w:link w:val="22"/>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9"/>
    <w:qFormat/>
    <w:uiPriority w:val="0"/>
    <w:pPr>
      <w:jc w:val="left"/>
    </w:pPr>
  </w:style>
  <w:style w:type="paragraph" w:styleId="5">
    <w:name w:val="Balloon Text"/>
    <w:basedOn w:val="1"/>
    <w:link w:val="18"/>
    <w:qFormat/>
    <w:uiPriority w:val="0"/>
    <w:rPr>
      <w:sz w:val="18"/>
      <w:szCs w:val="18"/>
    </w:rPr>
  </w:style>
  <w:style w:type="paragraph" w:styleId="6">
    <w:name w:val="footer"/>
    <w:basedOn w:val="1"/>
    <w:link w:val="16"/>
    <w:qFormat/>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cs="Times New Roman"/>
      <w:kern w:val="0"/>
      <w:sz w:val="24"/>
      <w:szCs w:val="24"/>
    </w:rPr>
  </w:style>
  <w:style w:type="paragraph" w:styleId="9">
    <w:name w:val="Normal (Web)"/>
    <w:basedOn w:val="1"/>
    <w:unhideWhenUsed/>
    <w:qFormat/>
    <w:uiPriority w:val="99"/>
    <w:pPr>
      <w:widowControl/>
      <w:spacing w:before="100" w:beforeAutospacing="1" w:after="100" w:afterAutospacing="1"/>
      <w:jc w:val="left"/>
    </w:pPr>
    <w:rPr>
      <w:rFonts w:ascii="宋体" w:hAnsi="宋体"/>
      <w:kern w:val="0"/>
      <w:sz w:val="24"/>
      <w:szCs w:val="24"/>
    </w:rPr>
  </w:style>
  <w:style w:type="paragraph" w:styleId="10">
    <w:name w:val="annotation subject"/>
    <w:basedOn w:val="4"/>
    <w:next w:val="4"/>
    <w:link w:val="20"/>
    <w:qFormat/>
    <w:uiPriority w:val="0"/>
    <w:rPr>
      <w:b/>
      <w:bCs/>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basedOn w:val="13"/>
    <w:qFormat/>
    <w:uiPriority w:val="0"/>
    <w:rPr>
      <w:sz w:val="21"/>
      <w:szCs w:val="21"/>
    </w:rPr>
  </w:style>
  <w:style w:type="character" w:customStyle="1" w:styleId="15">
    <w:name w:val="页眉 字符"/>
    <w:basedOn w:val="13"/>
    <w:link w:val="7"/>
    <w:qFormat/>
    <w:uiPriority w:val="99"/>
    <w:rPr>
      <w:kern w:val="2"/>
      <w:sz w:val="18"/>
      <w:szCs w:val="18"/>
    </w:rPr>
  </w:style>
  <w:style w:type="character" w:customStyle="1" w:styleId="16">
    <w:name w:val="页脚 字符"/>
    <w:basedOn w:val="13"/>
    <w:link w:val="6"/>
    <w:qFormat/>
    <w:uiPriority w:val="99"/>
    <w:rPr>
      <w:kern w:val="2"/>
      <w:sz w:val="18"/>
      <w:szCs w:val="18"/>
    </w:rPr>
  </w:style>
  <w:style w:type="paragraph" w:styleId="17">
    <w:name w:val="List Paragraph"/>
    <w:basedOn w:val="1"/>
    <w:qFormat/>
    <w:uiPriority w:val="99"/>
    <w:pPr>
      <w:ind w:firstLine="420" w:firstLineChars="200"/>
    </w:pPr>
  </w:style>
  <w:style w:type="character" w:customStyle="1" w:styleId="18">
    <w:name w:val="批注框文本 字符"/>
    <w:basedOn w:val="13"/>
    <w:link w:val="5"/>
    <w:qFormat/>
    <w:uiPriority w:val="0"/>
    <w:rPr>
      <w:rFonts w:ascii="Calibri" w:hAnsi="Calibri" w:eastAsia="宋体" w:cs="宋体"/>
      <w:kern w:val="2"/>
      <w:sz w:val="18"/>
      <w:szCs w:val="18"/>
    </w:rPr>
  </w:style>
  <w:style w:type="character" w:customStyle="1" w:styleId="19">
    <w:name w:val="批注文字 字符"/>
    <w:basedOn w:val="13"/>
    <w:link w:val="4"/>
    <w:qFormat/>
    <w:uiPriority w:val="0"/>
    <w:rPr>
      <w:rFonts w:ascii="Calibri" w:hAnsi="Calibri" w:eastAsia="宋体" w:cs="宋体"/>
      <w:kern w:val="2"/>
      <w:sz w:val="21"/>
      <w:szCs w:val="22"/>
    </w:rPr>
  </w:style>
  <w:style w:type="character" w:customStyle="1" w:styleId="20">
    <w:name w:val="批注主题 字符"/>
    <w:basedOn w:val="19"/>
    <w:link w:val="10"/>
    <w:qFormat/>
    <w:uiPriority w:val="0"/>
    <w:rPr>
      <w:rFonts w:ascii="Calibri" w:hAnsi="Calibri" w:eastAsia="宋体" w:cs="宋体"/>
      <w:b/>
      <w:bCs/>
      <w:kern w:val="2"/>
      <w:sz w:val="21"/>
      <w:szCs w:val="22"/>
    </w:rPr>
  </w:style>
  <w:style w:type="paragraph" w:customStyle="1" w:styleId="21">
    <w:name w:val="修订1"/>
    <w:hidden/>
    <w:unhideWhenUsed/>
    <w:qFormat/>
    <w:uiPriority w:val="99"/>
    <w:rPr>
      <w:rFonts w:ascii="Calibri" w:hAnsi="Calibri" w:eastAsia="宋体" w:cs="宋体"/>
      <w:kern w:val="2"/>
      <w:sz w:val="21"/>
      <w:szCs w:val="22"/>
      <w:lang w:val="en-US" w:eastAsia="zh-CN" w:bidi="ar-SA"/>
    </w:rPr>
  </w:style>
  <w:style w:type="character" w:customStyle="1" w:styleId="22">
    <w:name w:val="标题 2 字符"/>
    <w:basedOn w:val="13"/>
    <w:link w:val="3"/>
    <w:semiHidden/>
    <w:qFormat/>
    <w:uiPriority w:val="0"/>
    <w:rPr>
      <w:rFonts w:asciiTheme="majorHAnsi" w:hAnsiTheme="majorHAnsi" w:eastAsiaTheme="majorEastAsia" w:cstheme="majorBidi"/>
      <w:b/>
      <w:bCs/>
      <w:kern w:val="2"/>
      <w:sz w:val="32"/>
      <w:szCs w:val="32"/>
    </w:rPr>
  </w:style>
  <w:style w:type="paragraph" w:customStyle="1" w:styleId="23">
    <w:name w:val="Table caption|1"/>
    <w:basedOn w:val="1"/>
    <w:qFormat/>
    <w:uiPriority w:val="0"/>
    <w:pPr>
      <w:spacing w:after="30"/>
      <w:jc w:val="left"/>
    </w:pPr>
    <w:rPr>
      <w:rFonts w:ascii="宋体" w:hAnsi="宋体"/>
      <w:color w:val="4C4E52"/>
      <w:sz w:val="22"/>
      <w:lang w:val="zh-TW" w:eastAsia="zh-TW" w:bidi="zh-TW"/>
    </w:rPr>
  </w:style>
  <w:style w:type="paragraph" w:customStyle="1" w:styleId="24">
    <w:name w:val="Other|1"/>
    <w:basedOn w:val="1"/>
    <w:qFormat/>
    <w:uiPriority w:val="0"/>
    <w:pPr>
      <w:jc w:val="left"/>
    </w:pPr>
    <w:rPr>
      <w:rFonts w:ascii="宋体" w:hAnsi="宋体"/>
      <w:color w:val="4C4E52"/>
      <w:sz w:val="22"/>
      <w:lang w:val="zh-TW" w:eastAsia="zh-TW" w:bidi="zh-TW"/>
    </w:rPr>
  </w:style>
  <w:style w:type="character" w:customStyle="1" w:styleId="25">
    <w:name w:val="font01"/>
    <w:basedOn w:val="13"/>
    <w:qFormat/>
    <w:uiPriority w:val="0"/>
    <w:rPr>
      <w:rFonts w:hint="eastAsia" w:ascii="SimHei" w:hAnsi="宋体" w:eastAsia="SimHei" w:cs="SimHei"/>
      <w:color w:val="000000"/>
      <w:sz w:val="36"/>
      <w:szCs w:val="36"/>
      <w:u w:val="single"/>
    </w:rPr>
  </w:style>
  <w:style w:type="character" w:customStyle="1" w:styleId="26">
    <w:name w:val="font51"/>
    <w:basedOn w:val="13"/>
    <w:qFormat/>
    <w:uiPriority w:val="0"/>
    <w:rPr>
      <w:rFonts w:hint="eastAsia" w:ascii="SimHei" w:hAnsi="宋体" w:eastAsia="SimHei" w:cs="SimHei"/>
      <w:color w:val="000000"/>
      <w:sz w:val="36"/>
      <w:szCs w:val="36"/>
      <w:u w:val="none"/>
    </w:rPr>
  </w:style>
  <w:style w:type="paragraph" w:customStyle="1" w:styleId="27">
    <w:name w:val="修订2"/>
    <w:hidden/>
    <w:unhideWhenUsed/>
    <w:qFormat/>
    <w:uiPriority w:val="99"/>
    <w:rPr>
      <w:rFonts w:ascii="Calibri" w:hAnsi="Calibri" w:eastAsia="宋体" w:cs="宋体"/>
      <w:kern w:val="2"/>
      <w:sz w:val="21"/>
      <w:szCs w:val="22"/>
      <w:lang w:val="en-US" w:eastAsia="zh-CN" w:bidi="ar-SA"/>
    </w:rPr>
  </w:style>
  <w:style w:type="paragraph" w:customStyle="1" w:styleId="28">
    <w:name w:val="修订3"/>
    <w:hidden/>
    <w:unhideWhenUsed/>
    <w:qFormat/>
    <w:uiPriority w:val="99"/>
    <w:rPr>
      <w:rFonts w:ascii="Calibri" w:hAnsi="Calibri" w:eastAsia="宋体" w:cs="宋体"/>
      <w:kern w:val="2"/>
      <w:sz w:val="21"/>
      <w:szCs w:val="22"/>
      <w:lang w:val="en-US" w:eastAsia="zh-CN" w:bidi="ar-SA"/>
    </w:rPr>
  </w:style>
  <w:style w:type="paragraph" w:customStyle="1" w:styleId="29">
    <w:name w:val="Revision"/>
    <w:hidden/>
    <w:unhideWhenUsed/>
    <w:qFormat/>
    <w:uiPriority w:val="99"/>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24</Pages>
  <Words>1362</Words>
  <Characters>7765</Characters>
  <Lines>64</Lines>
  <Paragraphs>18</Paragraphs>
  <TotalTime>2</TotalTime>
  <ScaleCrop>false</ScaleCrop>
  <LinksUpToDate>false</LinksUpToDate>
  <CharactersWithSpaces>9109</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2024-04-21T00:42:00Z</dcterms:created>
  <dc:creator>yang-home</dc:creator>
  <cp:lastModifiedBy>wangrq</cp:lastModifiedBy>
  <cp:lastPrinted>2024-01-31T22:22:00Z</cp:lastPrinted>
  <dcterms:modified xsi:type="dcterms:W3CDTF">2024-05-28T14:49:45Z</dcterms:modified>
  <dc:title>会计师事务所从事证券服务业务备案办法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y fmtid="{D5CDD505-2E9C-101B-9397-08002B2CF9AE}" pid="3" name="ICV">
    <vt:lpwstr>AB684E84615914641D941F667CB73B17</vt:lpwstr>
  </property>
</Properties>
</file>