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left"/>
        <w:rPr>
          <w:rFonts w:ascii="黑体" w:eastAsia="黑体" w:hAnsiTheme="majorEastAsia"/>
          <w:sz w:val="32"/>
          <w:szCs w:val="32"/>
        </w:rPr>
      </w:pPr>
      <w:r>
        <w:rPr>
          <w:rFonts w:hint="eastAsia" w:ascii="黑体" w:eastAsia="黑体" w:hAnsiTheme="majorEastAsia"/>
          <w:sz w:val="32"/>
          <w:szCs w:val="32"/>
        </w:rPr>
        <w:t>世界银行贷款“现代财政制度与国家治理技援项目”</w:t>
      </w:r>
    </w:p>
    <w:p>
      <w:pPr>
        <w:spacing w:line="360" w:lineRule="auto"/>
        <w:jc w:val="left"/>
        <w:rPr>
          <w:rFonts w:ascii="黑体" w:eastAsia="黑体" w:hAnsiTheme="majorEastAsia"/>
          <w:sz w:val="32"/>
          <w:szCs w:val="32"/>
        </w:rPr>
      </w:pPr>
      <w:r>
        <w:rPr>
          <w:rFonts w:hint="eastAsia" w:ascii="黑体" w:eastAsia="黑体" w:hAnsiTheme="majorEastAsia"/>
          <w:sz w:val="32"/>
          <w:szCs w:val="32"/>
        </w:rPr>
        <w:t>子项目名称：经济中长期发展相关问题研究</w:t>
      </w:r>
    </w:p>
    <w:p>
      <w:pPr>
        <w:rPr>
          <w:rFonts w:ascii="仿宋_GB2312" w:eastAsia="仿宋_GB2312"/>
          <w:sz w:val="32"/>
          <w:szCs w:val="32"/>
        </w:rPr>
      </w:pPr>
    </w:p>
    <w:p>
      <w:pPr>
        <w:spacing w:line="360" w:lineRule="auto"/>
        <w:jc w:val="center"/>
        <w:rPr>
          <w:rFonts w:ascii="华文中宋" w:hAnsi="华文中宋" w:eastAsia="华文中宋"/>
          <w:sz w:val="36"/>
          <w:szCs w:val="36"/>
        </w:rPr>
      </w:pPr>
      <w:r>
        <w:rPr>
          <w:rFonts w:hint="eastAsia" w:ascii="华文中宋" w:hAnsi="华文中宋" w:eastAsia="华文中宋"/>
          <w:sz w:val="36"/>
          <w:szCs w:val="36"/>
        </w:rPr>
        <w:t>我国经济中长期发展与供给侧改革研究</w:t>
      </w:r>
    </w:p>
    <w:p>
      <w:pPr>
        <w:spacing w:line="360" w:lineRule="auto"/>
        <w:jc w:val="center"/>
        <w:rPr>
          <w:rFonts w:ascii="华文中宋" w:hAnsi="华文中宋" w:eastAsia="华文中宋"/>
          <w:sz w:val="36"/>
          <w:szCs w:val="36"/>
        </w:rPr>
      </w:pPr>
      <w:r>
        <w:rPr>
          <w:rFonts w:hint="eastAsia" w:ascii="华文中宋" w:hAnsi="华文中宋" w:eastAsia="华文中宋"/>
          <w:sz w:val="36"/>
          <w:szCs w:val="36"/>
        </w:rPr>
        <w:t>工作任务大纲B（聘请国内咨询专家）</w:t>
      </w:r>
    </w:p>
    <w:p>
      <w:pPr>
        <w:ind w:firstLine="640" w:firstLineChars="200"/>
        <w:rPr>
          <w:rFonts w:ascii="仿宋_GB2312" w:hAnsi="宋体" w:eastAsia="仿宋_GB2312"/>
          <w:sz w:val="32"/>
          <w:szCs w:val="32"/>
        </w:rPr>
      </w:pPr>
    </w:p>
    <w:p>
      <w:pPr>
        <w:ind w:firstLine="640" w:firstLineChars="200"/>
        <w:rPr>
          <w:rFonts w:ascii="仿宋_GB2312" w:hAnsi="宋体" w:eastAsia="仿宋_GB2312"/>
          <w:sz w:val="32"/>
          <w:szCs w:val="32"/>
        </w:rPr>
      </w:pPr>
      <w:r>
        <w:rPr>
          <w:rFonts w:hint="eastAsia" w:ascii="仿宋_GB2312" w:hAnsi="宋体" w:eastAsia="仿宋_GB2312"/>
          <w:sz w:val="32"/>
          <w:szCs w:val="32"/>
        </w:rPr>
        <w:t>经财政部批准，财政部政策研究室正在执行世界银行贷款“现代财政制度与国家治理”技援项目中的一个子项目“经济中长期发展相关问题研究”。该子项目的目标是</w:t>
      </w:r>
      <w:r>
        <w:rPr>
          <w:rFonts w:ascii="Times New Roman" w:hAnsi="Times New Roman" w:eastAsia="仿宋_GB2312" w:cs="Times New Roman"/>
          <w:sz w:val="32"/>
          <w:szCs w:val="32"/>
        </w:rPr>
        <w:t>以习近平新时代中国特色社会主义思想为指导，贯彻落实党的十九大精神，</w:t>
      </w:r>
      <w:r>
        <w:rPr>
          <w:rFonts w:hint="eastAsia" w:ascii="Times New Roman" w:hAnsi="Times New Roman" w:eastAsia="仿宋_GB2312" w:cs="Times New Roman"/>
          <w:sz w:val="32"/>
          <w:szCs w:val="32"/>
        </w:rPr>
        <w:t>紧扣建设现代化经济体系的新要求，</w:t>
      </w:r>
      <w:r>
        <w:rPr>
          <w:rFonts w:ascii="Times New Roman" w:hAnsi="Times New Roman" w:eastAsia="仿宋_GB2312" w:cs="Times New Roman"/>
          <w:sz w:val="32"/>
          <w:szCs w:val="32"/>
        </w:rPr>
        <w:t>在借鉴世界主要经济体发展战略和发展经验基础上，</w:t>
      </w:r>
      <w:r>
        <w:rPr>
          <w:rFonts w:hint="eastAsia" w:ascii="Times New Roman" w:hAnsi="Times New Roman" w:eastAsia="仿宋_GB2312" w:cs="Times New Roman"/>
          <w:sz w:val="32"/>
          <w:szCs w:val="32"/>
        </w:rPr>
        <w:t>深入分析我国经济中长期发展面临的有利条件和挑战，分析预测我国经济财政运行趋势</w:t>
      </w:r>
      <w:r>
        <w:rPr>
          <w:rFonts w:ascii="Times New Roman" w:hAnsi="Times New Roman" w:eastAsia="仿宋_GB2312" w:cs="Times New Roman"/>
          <w:sz w:val="32"/>
          <w:szCs w:val="32"/>
        </w:rPr>
        <w:t>，从财政视角提出推动</w:t>
      </w:r>
      <w:r>
        <w:rPr>
          <w:rFonts w:hint="eastAsia" w:ascii="Times New Roman" w:hAnsi="Times New Roman" w:eastAsia="仿宋_GB2312" w:cs="Times New Roman"/>
          <w:sz w:val="32"/>
          <w:szCs w:val="32"/>
        </w:rPr>
        <w:t>我国</w:t>
      </w:r>
      <w:r>
        <w:rPr>
          <w:rFonts w:ascii="Times New Roman" w:hAnsi="Times New Roman" w:eastAsia="仿宋_GB2312" w:cs="Times New Roman"/>
          <w:sz w:val="32"/>
          <w:szCs w:val="32"/>
        </w:rPr>
        <w:t>经济高质量发展的政策建议和具体实施路径。</w:t>
      </w:r>
      <w:r>
        <w:rPr>
          <w:rFonts w:hint="eastAsia" w:ascii="仿宋_GB2312" w:hAnsi="宋体" w:eastAsia="仿宋_GB2312"/>
          <w:sz w:val="32"/>
          <w:szCs w:val="32"/>
        </w:rPr>
        <w:t>现财政部政策研究室拟就该子项目的专题一“我国经济中长期发展与供给侧改革研究”，聘请国内咨询专家开展相关研究工作。</w:t>
      </w:r>
    </w:p>
    <w:p>
      <w:pPr>
        <w:ind w:firstLine="640" w:firstLineChars="200"/>
        <w:rPr>
          <w:rFonts w:ascii="黑体" w:hAnsi="黑体" w:eastAsia="黑体"/>
          <w:sz w:val="32"/>
          <w:szCs w:val="32"/>
        </w:rPr>
      </w:pPr>
      <w:r>
        <w:rPr>
          <w:rFonts w:hint="eastAsia" w:ascii="黑体" w:hAnsi="黑体" w:eastAsia="黑体"/>
          <w:sz w:val="32"/>
          <w:szCs w:val="32"/>
        </w:rPr>
        <w:t>一、背景</w:t>
      </w:r>
    </w:p>
    <w:p>
      <w:pPr>
        <w:ind w:firstLine="643" w:firstLineChars="200"/>
        <w:rPr>
          <w:rFonts w:ascii="楷体_GB2312" w:eastAsia="楷体_GB2312"/>
          <w:b/>
          <w:sz w:val="32"/>
          <w:szCs w:val="32"/>
        </w:rPr>
      </w:pPr>
      <w:r>
        <w:rPr>
          <w:rFonts w:hint="eastAsia" w:ascii="楷体_GB2312" w:eastAsia="楷体_GB2312"/>
          <w:b/>
          <w:sz w:val="32"/>
          <w:szCs w:val="32"/>
        </w:rPr>
        <w:t>（一）关于子项目“我国经济中长期发展相关问题研究”</w:t>
      </w:r>
    </w:p>
    <w:p>
      <w:pPr>
        <w:ind w:firstLine="640" w:firstLineChars="200"/>
        <w:rPr>
          <w:rFonts w:ascii="仿宋_GB2312" w:eastAsia="仿宋_GB2312"/>
          <w:sz w:val="32"/>
          <w:szCs w:val="32"/>
        </w:rPr>
      </w:pPr>
      <w:r>
        <w:rPr>
          <w:rFonts w:hint="eastAsia" w:ascii="仿宋_GB2312" w:eastAsia="仿宋_GB2312"/>
          <w:sz w:val="32"/>
          <w:szCs w:val="32"/>
        </w:rPr>
        <w:t>从世界经济角度看，尽管当前世界经济呈总体复苏态势，但仍受诸多不稳定不确定因素影响，世界经济中的深层次矛盾尚未解决，全球结构性问题比较突出，全球市场前景仍不容乐观。从国内经济角度看，当前我国经济由高速增长阶段转向高质量发展阶段，正处在转变发展方式、优化经济结构、转换增长动力的攻关期，经济发展方式正从规模速度型转向质量效率型，经济结构正从增量扩能为主转向调整存量、做优增量并存的深度调整，经济发展动力正从传统增长点转向新的增长点。这是我国经济向形态更高级、分工更优化、结构更合理演进的必经阶段。虽然当前我国经济仍将保持中高速增长，但经济环境较复杂，中长期发展面临的挑战较多，需进一步加强对我国经济中长期发展的研究工作。</w:t>
      </w:r>
    </w:p>
    <w:p>
      <w:pPr>
        <w:ind w:firstLine="643" w:firstLineChars="200"/>
        <w:rPr>
          <w:rFonts w:ascii="楷体_GB2312" w:eastAsia="楷体_GB2312"/>
          <w:b/>
          <w:sz w:val="32"/>
          <w:szCs w:val="32"/>
        </w:rPr>
      </w:pPr>
      <w:r>
        <w:rPr>
          <w:rFonts w:hint="eastAsia" w:ascii="楷体_GB2312" w:eastAsia="楷体_GB2312"/>
          <w:b/>
          <w:sz w:val="32"/>
          <w:szCs w:val="32"/>
        </w:rPr>
        <w:t>（二）关于本任务“我国经济中长期发展与供给侧改革研究”</w:t>
      </w:r>
    </w:p>
    <w:p>
      <w:pPr>
        <w:ind w:firstLine="640" w:firstLineChars="200"/>
        <w:rPr>
          <w:rFonts w:ascii="仿宋_GB2312" w:eastAsia="仿宋_GB2312"/>
          <w:sz w:val="32"/>
          <w:szCs w:val="32"/>
        </w:rPr>
      </w:pPr>
      <w:r>
        <w:rPr>
          <w:rFonts w:hint="eastAsia" w:ascii="仿宋_GB2312" w:eastAsia="仿宋_GB2312"/>
          <w:sz w:val="32"/>
          <w:szCs w:val="32"/>
        </w:rPr>
        <w:t>从中长期看，随着中国特色社会主义进入新时代，我国社会主要矛盾发生重大变化，我国经济发展阶段也发生了历史性变化。过剩传统行业去产能加快推进，新技术、新产品、新产业、新业态蓬勃发展，经济增长的新旧动能逐步接续转换，经济更具活力和韧性。新形势下，推动我国经济高质量发展，要在重视量的发展的同时，更加强重视解决质的问题，要在质的大幅提升中实现量的有效增长。党的十九大报告明确指出“坚持质量第一、效益优先，以供给侧结构性改革为主线，推动经济发展质量变革、效率变革、动力变革”，将“深化供给侧结构性改革”列为“建设现代化经济体系”的首要任务，通过供给侧结构性改革，破解经济发展和结构失衡难题，推动我国经济转型升级提质增效。</w:t>
      </w:r>
    </w:p>
    <w:p>
      <w:pPr>
        <w:ind w:firstLine="640" w:firstLineChars="200"/>
        <w:rPr>
          <w:rFonts w:ascii="黑体" w:hAnsi="黑体" w:eastAsia="黑体"/>
          <w:sz w:val="32"/>
          <w:szCs w:val="32"/>
        </w:rPr>
      </w:pPr>
      <w:r>
        <w:rPr>
          <w:rFonts w:hint="eastAsia" w:ascii="黑体" w:hAnsi="黑体" w:eastAsia="黑体"/>
          <w:sz w:val="32"/>
          <w:szCs w:val="32"/>
        </w:rPr>
        <w:t>二、工作目标、范围和方法</w:t>
      </w:r>
    </w:p>
    <w:p>
      <w:pPr>
        <w:ind w:firstLine="643" w:firstLineChars="200"/>
        <w:rPr>
          <w:rFonts w:ascii="楷体_GB2312" w:eastAsia="楷体_GB2312"/>
          <w:b/>
          <w:sz w:val="32"/>
          <w:szCs w:val="32"/>
        </w:rPr>
      </w:pPr>
      <w:r>
        <w:rPr>
          <w:rFonts w:hint="eastAsia" w:ascii="楷体_GB2312" w:eastAsia="楷体_GB2312"/>
          <w:b/>
          <w:sz w:val="32"/>
          <w:szCs w:val="32"/>
        </w:rPr>
        <w:t>（一）目标</w:t>
      </w:r>
    </w:p>
    <w:p>
      <w:pPr>
        <w:ind w:firstLine="640" w:firstLineChars="200"/>
        <w:rPr>
          <w:rFonts w:ascii="仿宋_GB2312" w:eastAsia="仿宋_GB2312"/>
          <w:sz w:val="32"/>
          <w:szCs w:val="32"/>
        </w:rPr>
      </w:pPr>
      <w:r>
        <w:rPr>
          <w:rFonts w:hint="eastAsia" w:ascii="仿宋_GB2312" w:eastAsia="仿宋_GB2312"/>
          <w:sz w:val="32"/>
          <w:szCs w:val="32"/>
        </w:rPr>
        <w:t>分析我国经济发展新阶段、新特点，以供给侧结构性改革为主线，围绕“三去一降一补”工作部署，以新发展理念引领加快建设现代化经济体系，推动实现更高层次的供需动态平衡，从财政视角提出深化供给侧结构性改革，推动我国经济高质量发展的政策建议。</w:t>
      </w:r>
    </w:p>
    <w:p>
      <w:pPr>
        <w:ind w:firstLine="643" w:firstLineChars="200"/>
        <w:rPr>
          <w:rFonts w:ascii="楷体_GB2312" w:eastAsia="楷体_GB2312"/>
          <w:b/>
          <w:sz w:val="32"/>
          <w:szCs w:val="32"/>
        </w:rPr>
      </w:pPr>
      <w:r>
        <w:rPr>
          <w:rFonts w:hint="eastAsia" w:ascii="楷体_GB2312" w:eastAsia="楷体_GB2312"/>
          <w:b/>
          <w:sz w:val="32"/>
          <w:szCs w:val="32"/>
        </w:rPr>
        <w:t>（二）范围</w:t>
      </w:r>
      <w:bookmarkStart w:id="0" w:name="_GoBack"/>
      <w:bookmarkEnd w:id="0"/>
    </w:p>
    <w:p>
      <w:pPr>
        <w:ind w:firstLine="640" w:firstLineChars="200"/>
        <w:rPr>
          <w:rFonts w:ascii="仿宋_GB2312" w:eastAsia="仿宋_GB2312"/>
          <w:sz w:val="32"/>
          <w:szCs w:val="32"/>
        </w:rPr>
      </w:pPr>
      <w:r>
        <w:rPr>
          <w:rFonts w:hint="eastAsia" w:ascii="仿宋_GB2312" w:eastAsia="仿宋_GB2312"/>
          <w:sz w:val="32"/>
          <w:szCs w:val="32"/>
        </w:rPr>
        <w:t>1.紧扣经济高质量发展总要求，深入研究我国经济领域存在的各种风险挑战，分析主要风险领域和风险点，提出防范化解重大风险的相关建议。</w:t>
      </w:r>
    </w:p>
    <w:p>
      <w:pPr>
        <w:ind w:firstLine="640" w:firstLineChars="200"/>
        <w:rPr>
          <w:rFonts w:ascii="仿宋_GB2312" w:eastAsia="仿宋_GB2312"/>
          <w:sz w:val="32"/>
          <w:szCs w:val="32"/>
        </w:rPr>
      </w:pPr>
      <w:r>
        <w:rPr>
          <w:rFonts w:hint="eastAsia" w:ascii="仿宋_GB2312" w:eastAsia="仿宋_GB2312"/>
          <w:sz w:val="32"/>
          <w:szCs w:val="32"/>
        </w:rPr>
        <w:t>2.对我国供给侧结构性改革的进展、取得的成效、存在的现实问题等进行分析，围绕供给侧结构性改革的重点难点问题，如地方政府隐性债务等，开展深入研究，提出推动供给侧结构性改革，促进我国经济高质量发展的政策建议。</w:t>
      </w:r>
    </w:p>
    <w:p>
      <w:pPr>
        <w:ind w:firstLine="640" w:firstLineChars="200"/>
        <w:rPr>
          <w:rFonts w:ascii="仿宋_GB2312" w:eastAsia="仿宋_GB2312"/>
          <w:sz w:val="32"/>
          <w:szCs w:val="32"/>
        </w:rPr>
      </w:pPr>
      <w:r>
        <w:rPr>
          <w:rFonts w:hint="eastAsia" w:ascii="仿宋_GB2312" w:eastAsia="仿宋_GB2312"/>
          <w:sz w:val="32"/>
          <w:szCs w:val="32"/>
        </w:rPr>
        <w:t>3.</w:t>
      </w:r>
      <w:r>
        <w:rPr>
          <w:rFonts w:hint="eastAsia" w:ascii="仿宋_GB2312" w:eastAsia="仿宋_GB2312" w:cs="Times New Roman" w:hAnsiTheme="majorEastAsia"/>
          <w:sz w:val="32"/>
          <w:szCs w:val="32"/>
        </w:rPr>
        <w:t>本专题需聘请1名</w:t>
      </w:r>
      <w:r>
        <w:rPr>
          <w:rFonts w:hint="eastAsia" w:ascii="仿宋_GB2312" w:hAnsi="宋体" w:eastAsia="仿宋_GB2312"/>
          <w:sz w:val="32"/>
          <w:szCs w:val="32"/>
        </w:rPr>
        <w:t>国际咨询专家</w:t>
      </w:r>
      <w:r>
        <w:rPr>
          <w:rFonts w:hint="eastAsia" w:ascii="仿宋_GB2312" w:eastAsia="仿宋_GB2312" w:cs="Times New Roman" w:hAnsiTheme="majorEastAsia"/>
          <w:sz w:val="32"/>
          <w:szCs w:val="32"/>
        </w:rPr>
        <w:t>（可中国籍）和1名</w:t>
      </w:r>
      <w:r>
        <w:rPr>
          <w:rFonts w:hint="eastAsia" w:ascii="仿宋_GB2312" w:hAnsi="宋体" w:eastAsia="仿宋_GB2312"/>
          <w:sz w:val="32"/>
          <w:szCs w:val="32"/>
        </w:rPr>
        <w:t>国内咨询专家</w:t>
      </w:r>
      <w:r>
        <w:rPr>
          <w:rFonts w:hint="eastAsia" w:ascii="仿宋_GB2312" w:eastAsia="仿宋_GB2312" w:cs="Times New Roman" w:hAnsiTheme="majorEastAsia"/>
          <w:sz w:val="32"/>
          <w:szCs w:val="32"/>
        </w:rPr>
        <w:t>独立开展研究，分别提交各自研究报告，最后由</w:t>
      </w:r>
      <w:r>
        <w:rPr>
          <w:rFonts w:hint="eastAsia" w:ascii="仿宋_GB2312" w:hAnsi="宋体" w:eastAsia="仿宋_GB2312"/>
          <w:sz w:val="32"/>
          <w:szCs w:val="32"/>
        </w:rPr>
        <w:t>国内咨询专家</w:t>
      </w:r>
      <w:r>
        <w:rPr>
          <w:rFonts w:hint="eastAsia" w:ascii="仿宋_GB2312" w:eastAsia="仿宋_GB2312" w:cs="Times New Roman" w:hAnsiTheme="majorEastAsia"/>
          <w:sz w:val="32"/>
          <w:szCs w:val="32"/>
        </w:rPr>
        <w:t>整合形成总报告，在总报告整合过程中需要</w:t>
      </w:r>
      <w:r>
        <w:rPr>
          <w:rFonts w:hint="eastAsia" w:ascii="仿宋_GB2312" w:hAnsi="宋体" w:eastAsia="仿宋_GB2312"/>
          <w:sz w:val="32"/>
          <w:szCs w:val="32"/>
        </w:rPr>
        <w:t>国际咨询专家</w:t>
      </w:r>
      <w:r>
        <w:rPr>
          <w:rFonts w:hint="eastAsia" w:ascii="仿宋_GB2312" w:eastAsia="仿宋_GB2312" w:cs="Times New Roman" w:hAnsiTheme="majorEastAsia"/>
          <w:sz w:val="32"/>
          <w:szCs w:val="32"/>
        </w:rPr>
        <w:t>配合</w:t>
      </w:r>
      <w:r>
        <w:rPr>
          <w:rFonts w:hint="eastAsia" w:ascii="仿宋_GB2312" w:hAnsi="宋体" w:eastAsia="仿宋_GB2312"/>
          <w:sz w:val="32"/>
          <w:szCs w:val="32"/>
        </w:rPr>
        <w:t>国内咨询专家</w:t>
      </w:r>
      <w:r>
        <w:rPr>
          <w:rFonts w:hint="eastAsia" w:ascii="仿宋_GB2312" w:eastAsia="仿宋_GB2312" w:cs="Times New Roman" w:hAnsiTheme="majorEastAsia"/>
          <w:sz w:val="32"/>
          <w:szCs w:val="32"/>
        </w:rPr>
        <w:t>开展相关工作。</w:t>
      </w:r>
    </w:p>
    <w:p>
      <w:pPr>
        <w:ind w:firstLine="643" w:firstLineChars="200"/>
        <w:rPr>
          <w:rFonts w:ascii="楷体_GB2312" w:eastAsia="楷体_GB2312"/>
          <w:b/>
          <w:sz w:val="32"/>
          <w:szCs w:val="32"/>
        </w:rPr>
      </w:pPr>
      <w:r>
        <w:rPr>
          <w:rFonts w:hint="eastAsia" w:ascii="楷体_GB2312" w:eastAsia="楷体_GB2312"/>
          <w:b/>
          <w:sz w:val="32"/>
          <w:szCs w:val="32"/>
        </w:rPr>
        <w:t>（三）方法</w:t>
      </w:r>
    </w:p>
    <w:p>
      <w:pPr>
        <w:ind w:firstLine="640" w:firstLineChars="200"/>
        <w:rPr>
          <w:rFonts w:ascii="仿宋_GB2312" w:eastAsia="仿宋_GB2312"/>
          <w:sz w:val="32"/>
          <w:szCs w:val="32"/>
        </w:rPr>
      </w:pPr>
      <w:r>
        <w:rPr>
          <w:rFonts w:hint="eastAsia" w:ascii="仿宋_GB2312" w:eastAsia="仿宋_GB2312"/>
          <w:sz w:val="32"/>
          <w:szCs w:val="32"/>
        </w:rPr>
        <w:t>咨询专家应采取的研究方法包括但不限于以下内容：</w:t>
      </w:r>
    </w:p>
    <w:p>
      <w:pPr>
        <w:ind w:firstLine="640" w:firstLineChars="200"/>
        <w:rPr>
          <w:rFonts w:ascii="仿宋_GB2312" w:eastAsia="仿宋_GB2312"/>
          <w:sz w:val="32"/>
          <w:szCs w:val="32"/>
        </w:rPr>
      </w:pPr>
      <w:r>
        <w:rPr>
          <w:rFonts w:hint="eastAsia" w:ascii="仿宋_GB2312" w:eastAsia="仿宋_GB2312"/>
          <w:sz w:val="32"/>
          <w:szCs w:val="32"/>
        </w:rPr>
        <w:t>1.资料收集。咨询专家可以通过查阅资料、听取相关领域专家意见等方式全方位了解我国供给侧结构性改革的历程和措施。也可以适当借鉴世界银行、IMF等国际机构的既有研究成果。</w:t>
      </w:r>
    </w:p>
    <w:p>
      <w:pPr>
        <w:ind w:firstLine="640" w:firstLineChars="200"/>
        <w:rPr>
          <w:rFonts w:ascii="仿宋_GB2312" w:eastAsia="仿宋_GB2312"/>
          <w:sz w:val="32"/>
          <w:szCs w:val="32"/>
        </w:rPr>
      </w:pPr>
      <w:r>
        <w:rPr>
          <w:rFonts w:hint="eastAsia" w:ascii="仿宋_GB2312" w:eastAsia="仿宋_GB2312"/>
          <w:sz w:val="32"/>
          <w:szCs w:val="32"/>
        </w:rPr>
        <w:t>2.调查研究。咨询专家可采取实地调研、发放调查问卷等形式了解我国经济发展过程中存在的问题；也可听取地方有关部门、市场投资者、企业负责人等的意见和建议。</w:t>
      </w:r>
    </w:p>
    <w:p>
      <w:pPr>
        <w:ind w:firstLine="640" w:firstLineChars="200"/>
        <w:rPr>
          <w:rFonts w:ascii="仿宋_GB2312" w:eastAsia="仿宋_GB2312"/>
          <w:sz w:val="32"/>
          <w:szCs w:val="32"/>
        </w:rPr>
      </w:pPr>
      <w:r>
        <w:rPr>
          <w:rFonts w:hint="eastAsia" w:ascii="仿宋_GB2312" w:eastAsia="仿宋_GB2312"/>
          <w:sz w:val="32"/>
          <w:szCs w:val="32"/>
        </w:rPr>
        <w:t>3.召开研讨会。咨询专家可以在研究周期内召开研讨会，邀请相关领域专家学者参会，探讨重点难点问题，对项目研究提出意见和建议。</w:t>
      </w:r>
    </w:p>
    <w:p>
      <w:pPr>
        <w:ind w:firstLine="640" w:firstLineChars="200"/>
        <w:rPr>
          <w:rFonts w:ascii="黑体" w:hAnsi="黑体" w:eastAsia="黑体"/>
          <w:sz w:val="32"/>
          <w:szCs w:val="32"/>
        </w:rPr>
      </w:pPr>
      <w:r>
        <w:rPr>
          <w:rFonts w:hint="eastAsia" w:ascii="黑体" w:hAnsi="黑体" w:eastAsia="黑体"/>
          <w:sz w:val="32"/>
          <w:szCs w:val="32"/>
        </w:rPr>
        <w:t>三、专业资历</w:t>
      </w:r>
    </w:p>
    <w:p>
      <w:pPr>
        <w:ind w:firstLine="640" w:firstLineChars="200"/>
        <w:rPr>
          <w:rFonts w:ascii="仿宋_GB2312" w:eastAsia="仿宋_GB2312"/>
          <w:sz w:val="32"/>
          <w:szCs w:val="32"/>
        </w:rPr>
      </w:pPr>
      <w:r>
        <w:rPr>
          <w:rFonts w:hint="eastAsia" w:ascii="仿宋_GB2312" w:eastAsia="仿宋_GB2312"/>
          <w:sz w:val="32"/>
          <w:szCs w:val="32"/>
        </w:rPr>
        <w:t>拟参与竞争的咨询专家应具备但不限于以下条件：</w:t>
      </w:r>
    </w:p>
    <w:p>
      <w:pPr>
        <w:ind w:firstLine="640" w:firstLineChars="200"/>
        <w:rPr>
          <w:rFonts w:ascii="仿宋_GB2312" w:eastAsia="仿宋_GB2312"/>
          <w:sz w:val="32"/>
          <w:szCs w:val="32"/>
        </w:rPr>
      </w:pPr>
      <w:r>
        <w:rPr>
          <w:rFonts w:hint="eastAsia" w:ascii="仿宋_GB2312" w:eastAsia="仿宋_GB2312"/>
          <w:sz w:val="32"/>
          <w:szCs w:val="32"/>
        </w:rPr>
        <w:t>（一）咨询专家应在经济研究领域有较丰富的人力资源和智力资源，熟知我国供给侧结构性改革，并在经济中长期发展和供给侧结构性改革方面已取得具有一定影响力的、可借鉴的研究成果。</w:t>
      </w:r>
    </w:p>
    <w:p>
      <w:pPr>
        <w:ind w:firstLine="640" w:firstLineChars="200"/>
        <w:rPr>
          <w:rFonts w:ascii="仿宋_GB2312" w:eastAsia="仿宋_GB2312"/>
          <w:sz w:val="32"/>
          <w:szCs w:val="32"/>
        </w:rPr>
      </w:pPr>
      <w:r>
        <w:rPr>
          <w:rFonts w:hint="eastAsia" w:ascii="仿宋_GB2312" w:eastAsia="仿宋_GB2312"/>
          <w:sz w:val="32"/>
          <w:szCs w:val="32"/>
        </w:rPr>
        <w:t>（二）咨询专家应有正高级职称，具有丰富的课题研究经验和较强课题研究组织能力，过去5年曾承担过相关课题研究任务，或从事过相关工作，并保证有充足的时间和精力投入本课题研究。</w:t>
      </w:r>
    </w:p>
    <w:p>
      <w:pPr>
        <w:tabs>
          <w:tab w:val="left" w:pos="615"/>
        </w:tabs>
        <w:rPr>
          <w:rFonts w:ascii="黑体" w:hAnsi="宋体" w:eastAsia="黑体"/>
          <w:sz w:val="32"/>
          <w:szCs w:val="32"/>
        </w:rPr>
      </w:pPr>
      <w:r>
        <w:rPr>
          <w:rFonts w:ascii="宋体" w:hAnsi="宋体"/>
          <w:sz w:val="32"/>
          <w:szCs w:val="32"/>
        </w:rPr>
        <w:tab/>
      </w:r>
      <w:r>
        <w:rPr>
          <w:rFonts w:hint="eastAsia" w:ascii="黑体" w:hAnsi="宋体" w:eastAsia="黑体"/>
          <w:sz w:val="32"/>
          <w:szCs w:val="32"/>
        </w:rPr>
        <w:t>四、工作成果及时间安排</w:t>
      </w:r>
    </w:p>
    <w:p>
      <w:pPr>
        <w:ind w:firstLine="643" w:firstLineChars="200"/>
        <w:rPr>
          <w:rFonts w:ascii="楷体_GB2312" w:eastAsia="楷体_GB2312"/>
          <w:b/>
          <w:sz w:val="32"/>
          <w:szCs w:val="32"/>
        </w:rPr>
      </w:pPr>
      <w:r>
        <w:rPr>
          <w:rFonts w:hint="eastAsia" w:ascii="楷体_GB2312" w:eastAsia="楷体_GB2312"/>
          <w:b/>
          <w:sz w:val="32"/>
          <w:szCs w:val="32"/>
        </w:rPr>
        <w:t>（一）交付成果</w:t>
      </w:r>
    </w:p>
    <w:p>
      <w:pPr>
        <w:ind w:firstLine="640" w:firstLineChars="200"/>
        <w:rPr>
          <w:rFonts w:ascii="仿宋_GB2312" w:eastAsia="仿宋_GB2312"/>
          <w:sz w:val="32"/>
          <w:szCs w:val="32"/>
        </w:rPr>
      </w:pPr>
      <w:r>
        <w:rPr>
          <w:rFonts w:hint="eastAsia" w:ascii="仿宋_GB2312" w:eastAsia="仿宋_GB2312"/>
          <w:sz w:val="32"/>
          <w:szCs w:val="32"/>
        </w:rPr>
        <w:t>咨询专家应向财政部政策研究室提交以下成果：</w:t>
      </w:r>
    </w:p>
    <w:p>
      <w:pPr>
        <w:ind w:firstLine="640" w:firstLineChars="200"/>
        <w:rPr>
          <w:rFonts w:ascii="仿宋_GB2312" w:eastAsia="仿宋_GB2312"/>
          <w:sz w:val="32"/>
          <w:szCs w:val="32"/>
        </w:rPr>
      </w:pPr>
      <w:r>
        <w:rPr>
          <w:rFonts w:hint="eastAsia" w:ascii="仿宋_GB2312" w:eastAsia="仿宋_GB2312"/>
          <w:sz w:val="32"/>
          <w:szCs w:val="32"/>
        </w:rPr>
        <w:t>1.《深化供给侧结构性改革 推动中国经济高质量发展研究报告》研究大纲。咨询专家应在本工作任务大纲基础上，提出更为具体、详尽的研究大纲，经项目单位确认后开展相关研究工作。</w:t>
      </w:r>
    </w:p>
    <w:p>
      <w:pPr>
        <w:ind w:firstLine="640" w:firstLineChars="200"/>
        <w:rPr>
          <w:rFonts w:ascii="仿宋_GB2312" w:eastAsia="仿宋_GB2312"/>
          <w:sz w:val="32"/>
          <w:szCs w:val="32"/>
        </w:rPr>
      </w:pPr>
      <w:r>
        <w:rPr>
          <w:rFonts w:hint="eastAsia" w:ascii="仿宋_GB2312" w:eastAsia="仿宋_GB2312"/>
          <w:sz w:val="32"/>
          <w:szCs w:val="32"/>
        </w:rPr>
        <w:t>2.《深化供给侧结构性改革 推动中国经济高质量发展研究报告》初稿。咨询专家在前期收集资料、进行相关调研基础上整理形成研究报告初稿（应包含报告摘要和目录索引），报告应全面响应但不限于本任务提出的工作范围，并做到内容完整、结构清晰、观点明确。咨询专家提交报告初稿后，根据项目单位意见进行修改，形成研究报告修改稿。修改稿应在收到项目单位修改意见后</w:t>
      </w:r>
      <w:r>
        <w:rPr>
          <w:rFonts w:ascii="仿宋_GB2312" w:eastAsia="仿宋_GB2312"/>
          <w:sz w:val="32"/>
          <w:szCs w:val="32"/>
        </w:rPr>
        <w:t>1</w:t>
      </w:r>
      <w:r>
        <w:rPr>
          <w:rFonts w:hint="eastAsia" w:ascii="仿宋_GB2312" w:eastAsia="仿宋_GB2312"/>
          <w:sz w:val="32"/>
          <w:szCs w:val="32"/>
        </w:rPr>
        <w:t>个月内提交。如仍未满足质量要求，需继续修改报告。</w:t>
      </w:r>
    </w:p>
    <w:p>
      <w:pPr>
        <w:ind w:firstLine="640" w:firstLineChars="200"/>
        <w:rPr>
          <w:rFonts w:ascii="仿宋_GB2312" w:eastAsia="仿宋_GB2312"/>
          <w:sz w:val="32"/>
          <w:szCs w:val="32"/>
        </w:rPr>
      </w:pPr>
      <w:r>
        <w:rPr>
          <w:rFonts w:hint="eastAsia" w:ascii="仿宋_GB2312" w:eastAsia="仿宋_GB2312"/>
          <w:sz w:val="32"/>
          <w:szCs w:val="32"/>
        </w:rPr>
        <w:t>3.《深化供给侧结构性改革 推动中国经济高质量发展研究报告》终稿。报告终稿应提供3份打印稿，同时提供电子版，数据和表格需以Excel文档提供，图片需提供未压缩版本。</w:t>
      </w:r>
    </w:p>
    <w:p>
      <w:pPr>
        <w:ind w:firstLine="643" w:firstLineChars="200"/>
        <w:rPr>
          <w:rFonts w:ascii="楷体_GB2312" w:eastAsia="楷体_GB2312"/>
          <w:b/>
          <w:sz w:val="32"/>
          <w:szCs w:val="32"/>
        </w:rPr>
      </w:pPr>
      <w:r>
        <w:rPr>
          <w:rFonts w:hint="eastAsia" w:ascii="楷体_GB2312" w:eastAsia="楷体_GB2312"/>
          <w:b/>
          <w:sz w:val="32"/>
          <w:szCs w:val="32"/>
        </w:rPr>
        <w:t>（二）时间安排</w:t>
      </w:r>
    </w:p>
    <w:p>
      <w:pPr>
        <w:ind w:firstLine="640" w:firstLineChars="200"/>
        <w:rPr>
          <w:rFonts w:ascii="仿宋_GB2312" w:eastAsia="仿宋_GB2312"/>
          <w:sz w:val="32"/>
          <w:szCs w:val="32"/>
        </w:rPr>
      </w:pPr>
      <w:r>
        <w:rPr>
          <w:rFonts w:hint="eastAsia" w:ascii="仿宋_GB2312" w:eastAsia="仿宋_GB2312"/>
          <w:sz w:val="32"/>
          <w:szCs w:val="32"/>
        </w:rPr>
        <w:t>1.本任务自合同签订之日起执行；</w:t>
      </w:r>
    </w:p>
    <w:p>
      <w:pPr>
        <w:ind w:firstLine="640" w:firstLineChars="200"/>
        <w:rPr>
          <w:rFonts w:ascii="仿宋_GB2312" w:eastAsia="仿宋_GB2312"/>
          <w:sz w:val="32"/>
          <w:szCs w:val="32"/>
        </w:rPr>
      </w:pPr>
      <w:r>
        <w:rPr>
          <w:rFonts w:hint="eastAsia" w:ascii="仿宋_GB2312" w:eastAsia="仿宋_GB2312"/>
          <w:sz w:val="32"/>
          <w:szCs w:val="32"/>
        </w:rPr>
        <w:t>2.《深化供给侧结构性改革 推动中国经济高质量发展研究报告》研究大纲交付时间不迟于合同签订后1个月；</w:t>
      </w:r>
    </w:p>
    <w:p>
      <w:pPr>
        <w:ind w:firstLine="640" w:firstLineChars="200"/>
        <w:rPr>
          <w:rFonts w:ascii="仿宋_GB2312" w:eastAsia="仿宋_GB2312"/>
          <w:sz w:val="32"/>
          <w:szCs w:val="32"/>
        </w:rPr>
      </w:pPr>
      <w:r>
        <w:rPr>
          <w:rFonts w:hint="eastAsia" w:ascii="仿宋_GB2312" w:eastAsia="仿宋_GB2312"/>
          <w:sz w:val="32"/>
          <w:szCs w:val="32"/>
        </w:rPr>
        <w:t>3.《深化供给侧结构性改革 推动中国经济高质量发展研究报告》初稿交付时间不迟于2018年11月30日；</w:t>
      </w:r>
    </w:p>
    <w:p>
      <w:pPr>
        <w:ind w:firstLine="640" w:firstLineChars="200"/>
        <w:rPr>
          <w:rFonts w:ascii="仿宋_GB2312" w:eastAsia="仿宋_GB2312"/>
          <w:sz w:val="32"/>
          <w:szCs w:val="32"/>
        </w:rPr>
      </w:pPr>
      <w:r>
        <w:rPr>
          <w:rFonts w:hint="eastAsia" w:ascii="仿宋_GB2312" w:eastAsia="仿宋_GB2312"/>
          <w:sz w:val="32"/>
          <w:szCs w:val="32"/>
        </w:rPr>
        <w:t>4.《深化供给侧结构性改革 推动中国经济高质量发展研究报告》终稿交付时间不迟于2019年1月31日。</w:t>
      </w:r>
    </w:p>
    <w:p>
      <w:pPr>
        <w:ind w:firstLine="640" w:firstLineChars="200"/>
        <w:rPr>
          <w:rFonts w:ascii="仿宋_GB2312" w:eastAsia="仿宋_GB2312"/>
          <w:sz w:val="32"/>
          <w:szCs w:val="32"/>
        </w:rPr>
      </w:pPr>
      <w:r>
        <w:rPr>
          <w:rFonts w:hint="eastAsia" w:ascii="仿宋_GB2312" w:eastAsia="仿宋_GB2312"/>
          <w:sz w:val="32"/>
          <w:szCs w:val="32"/>
        </w:rPr>
        <w:t>上述成果交付时间均为预计时间，具体根据研究任务以实际签订合同中的约定条款为准。</w:t>
      </w:r>
    </w:p>
    <w:p>
      <w:pPr>
        <w:ind w:firstLine="640" w:firstLineChars="200"/>
        <w:rPr>
          <w:rFonts w:ascii="黑体" w:hAnsi="宋体" w:eastAsia="黑体"/>
          <w:sz w:val="32"/>
          <w:szCs w:val="32"/>
        </w:rPr>
      </w:pPr>
      <w:r>
        <w:rPr>
          <w:rFonts w:hint="eastAsia" w:ascii="黑体" w:hAnsi="宋体" w:eastAsia="黑体"/>
          <w:sz w:val="32"/>
          <w:szCs w:val="32"/>
        </w:rPr>
        <w:t>五、合同及付款计划</w:t>
      </w:r>
    </w:p>
    <w:p>
      <w:pPr>
        <w:ind w:firstLine="640" w:firstLineChars="200"/>
        <w:rPr>
          <w:rFonts w:ascii="仿宋_GB2312" w:eastAsia="仿宋_GB2312"/>
          <w:sz w:val="32"/>
          <w:szCs w:val="32"/>
        </w:rPr>
      </w:pPr>
      <w:r>
        <w:rPr>
          <w:rFonts w:hint="eastAsia" w:ascii="仿宋_GB2312" w:eastAsia="仿宋_GB2312"/>
          <w:sz w:val="32"/>
          <w:szCs w:val="32"/>
        </w:rPr>
        <w:t>中标咨询专家将获得一份总价包干合同。</w:t>
      </w:r>
      <w:r>
        <w:rPr>
          <w:rFonts w:hint="eastAsia" w:ascii="仿宋_GB2312" w:eastAsia="仿宋_GB2312" w:hAnsiTheme="majorEastAsia"/>
          <w:sz w:val="32"/>
          <w:szCs w:val="32"/>
        </w:rPr>
        <w:t>合同金</w:t>
      </w:r>
      <w:r>
        <w:rPr>
          <w:rFonts w:hint="eastAsia" w:ascii="仿宋_GB2312" w:hAnsi="宋体" w:eastAsia="仿宋_GB2312" w:cs="宋体"/>
          <w:sz w:val="32"/>
          <w:szCs w:val="32"/>
        </w:rPr>
        <w:t>额将在咨询专家交付质量满</w:t>
      </w:r>
      <w:r>
        <w:rPr>
          <w:rFonts w:hint="eastAsia" w:ascii="仿宋_GB2312" w:eastAsia="仿宋_GB2312" w:hAnsiTheme="majorEastAsia"/>
          <w:sz w:val="32"/>
          <w:szCs w:val="32"/>
        </w:rPr>
        <w:t>意的成果之后分期支付，考虑到付款的经济性以及研究工作的开展需要，拟根据第四部分“工作成果及时间安排”，按照咨询专家提交研究大纲、研究报告分三次进行付款，其余成果交付节点不再进行付款</w:t>
      </w:r>
      <w:r>
        <w:rPr>
          <w:rFonts w:hint="eastAsia" w:ascii="仿宋_GB2312" w:eastAsia="仿宋_GB2312" w:cs="宋体" w:hAnsiTheme="majorEastAsia"/>
          <w:sz w:val="32"/>
          <w:szCs w:val="32"/>
        </w:rPr>
        <w:t>。</w:t>
      </w:r>
      <w:r>
        <w:rPr>
          <w:rFonts w:hint="eastAsia" w:ascii="仿宋_GB2312" w:eastAsia="仿宋_GB2312"/>
          <w:sz w:val="32"/>
          <w:szCs w:val="32"/>
        </w:rPr>
        <w:t>具体付款安排如下：</w:t>
      </w:r>
    </w:p>
    <w:p>
      <w:pPr>
        <w:ind w:firstLine="640"/>
        <w:rPr>
          <w:rFonts w:ascii="仿宋_GB2312" w:eastAsia="仿宋_GB2312"/>
          <w:sz w:val="32"/>
          <w:szCs w:val="32"/>
        </w:rPr>
      </w:pPr>
      <w:r>
        <w:rPr>
          <w:rFonts w:hint="eastAsia" w:ascii="仿宋_GB2312" w:eastAsia="仿宋_GB2312"/>
          <w:sz w:val="32"/>
          <w:szCs w:val="32"/>
        </w:rPr>
        <w:t>（一）签订合同并交付《深化供给侧结构性改革 推动中国经济高质量发展研究报告》研究大纲后，支付合同总价的20%；</w:t>
      </w:r>
    </w:p>
    <w:p>
      <w:pPr>
        <w:ind w:firstLine="640"/>
        <w:rPr>
          <w:rFonts w:ascii="仿宋_GB2312" w:eastAsia="仿宋_GB2312"/>
          <w:sz w:val="32"/>
          <w:szCs w:val="32"/>
        </w:rPr>
      </w:pPr>
      <w:r>
        <w:rPr>
          <w:rFonts w:hint="eastAsia" w:ascii="仿宋_GB2312" w:eastAsia="仿宋_GB2312"/>
          <w:sz w:val="32"/>
          <w:szCs w:val="32"/>
        </w:rPr>
        <w:t>（二）交付《深化供给侧结构性改革 推动中国经济高质量发展研究报告》初稿后，支付合同总价的40%；</w:t>
      </w:r>
    </w:p>
    <w:p>
      <w:pPr>
        <w:ind w:firstLine="640"/>
        <w:rPr>
          <w:rFonts w:ascii="仿宋_GB2312" w:eastAsia="仿宋_GB2312"/>
          <w:sz w:val="32"/>
          <w:szCs w:val="32"/>
        </w:rPr>
      </w:pPr>
      <w:r>
        <w:rPr>
          <w:rFonts w:hint="eastAsia" w:ascii="仿宋_GB2312" w:eastAsia="仿宋_GB2312"/>
          <w:sz w:val="32"/>
          <w:szCs w:val="32"/>
        </w:rPr>
        <w:t>（三）交付《深化供给侧结构性改革 推动中国经济高质量发展研究报告》终稿后，支付合同总价的40%。</w:t>
      </w:r>
    </w:p>
    <w:p>
      <w:pPr>
        <w:ind w:firstLine="640" w:firstLineChars="200"/>
        <w:rPr>
          <w:rFonts w:ascii="黑体" w:hAnsi="宋体" w:eastAsia="黑体"/>
          <w:sz w:val="32"/>
          <w:szCs w:val="32"/>
        </w:rPr>
      </w:pPr>
      <w:r>
        <w:rPr>
          <w:rFonts w:hint="eastAsia" w:ascii="黑体" w:hAnsi="宋体" w:eastAsia="黑体"/>
          <w:sz w:val="32"/>
          <w:szCs w:val="32"/>
        </w:rPr>
        <w:t>六、监督管理</w:t>
      </w:r>
    </w:p>
    <w:p>
      <w:pPr>
        <w:tabs>
          <w:tab w:val="left" w:pos="760"/>
        </w:tabs>
        <w:ind w:firstLine="640" w:firstLineChars="200"/>
        <w:rPr>
          <w:rFonts w:ascii="仿宋_GB2312" w:eastAsia="仿宋_GB2312"/>
          <w:sz w:val="32"/>
          <w:szCs w:val="32"/>
        </w:rPr>
      </w:pPr>
      <w:r>
        <w:rPr>
          <w:rFonts w:hint="eastAsia" w:ascii="仿宋_GB2312" w:eastAsia="仿宋_GB2312"/>
          <w:sz w:val="32"/>
          <w:szCs w:val="32"/>
        </w:rPr>
        <w:t>咨询专家应定期向财政部政策研究室报告项目研究工作进展，并接受财政部项目管理办公室和世界银行项目管理团队监督。财政部政策研究室将提供项目执行的必要条件。</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38915942"/>
    </w:sdtPr>
    <w:sdtContent>
      <w:p>
        <w:pPr>
          <w:pStyle w:val="4"/>
          <w:jc w:val="center"/>
        </w:pPr>
        <w:r>
          <w:fldChar w:fldCharType="begin"/>
        </w:r>
        <w:r>
          <w:instrText xml:space="preserve">PAGE   \* MERGEFORMAT</w:instrText>
        </w:r>
        <w:r>
          <w:fldChar w:fldCharType="separate"/>
        </w:r>
        <w:r>
          <w:rPr>
            <w:lang w:val="zh-CN"/>
          </w:rPr>
          <w:t>7</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M2MzM5MjNmZTRkM2NhNmNiMzQxNTVlYTE0OTA5ZjIifQ=="/>
    <w:docVar w:name="KSO_WPS_MARK_KEY" w:val="0700f49d-b501-4dc7-8f41-7e05489a905e"/>
  </w:docVars>
  <w:rsids>
    <w:rsidRoot w:val="003341B5"/>
    <w:rsid w:val="0000004C"/>
    <w:rsid w:val="000010B5"/>
    <w:rsid w:val="00011947"/>
    <w:rsid w:val="000377CF"/>
    <w:rsid w:val="00037CA4"/>
    <w:rsid w:val="0006035F"/>
    <w:rsid w:val="0006309C"/>
    <w:rsid w:val="00072281"/>
    <w:rsid w:val="00075F16"/>
    <w:rsid w:val="000B001B"/>
    <w:rsid w:val="000C09AA"/>
    <w:rsid w:val="000E1717"/>
    <w:rsid w:val="000E418D"/>
    <w:rsid w:val="000E4AC3"/>
    <w:rsid w:val="000E797C"/>
    <w:rsid w:val="0010044A"/>
    <w:rsid w:val="0010325E"/>
    <w:rsid w:val="00105009"/>
    <w:rsid w:val="00114A55"/>
    <w:rsid w:val="0012205E"/>
    <w:rsid w:val="00134639"/>
    <w:rsid w:val="00136D4F"/>
    <w:rsid w:val="001425F1"/>
    <w:rsid w:val="00173B44"/>
    <w:rsid w:val="00191B48"/>
    <w:rsid w:val="00197920"/>
    <w:rsid w:val="001A0CC1"/>
    <w:rsid w:val="001A15D5"/>
    <w:rsid w:val="001B48EA"/>
    <w:rsid w:val="001F02B8"/>
    <w:rsid w:val="002062EC"/>
    <w:rsid w:val="0022243E"/>
    <w:rsid w:val="00233777"/>
    <w:rsid w:val="00240773"/>
    <w:rsid w:val="00244F16"/>
    <w:rsid w:val="002B04F9"/>
    <w:rsid w:val="002B2519"/>
    <w:rsid w:val="002C10B6"/>
    <w:rsid w:val="002F6B97"/>
    <w:rsid w:val="00326253"/>
    <w:rsid w:val="003341B5"/>
    <w:rsid w:val="00341F2C"/>
    <w:rsid w:val="003448EF"/>
    <w:rsid w:val="00345419"/>
    <w:rsid w:val="003567AE"/>
    <w:rsid w:val="00356B0B"/>
    <w:rsid w:val="00372EA5"/>
    <w:rsid w:val="003911D6"/>
    <w:rsid w:val="003911F5"/>
    <w:rsid w:val="003E5D0C"/>
    <w:rsid w:val="004179B8"/>
    <w:rsid w:val="004547AB"/>
    <w:rsid w:val="004639DA"/>
    <w:rsid w:val="004665A2"/>
    <w:rsid w:val="00475543"/>
    <w:rsid w:val="004839FA"/>
    <w:rsid w:val="00485A6B"/>
    <w:rsid w:val="00490F80"/>
    <w:rsid w:val="00493357"/>
    <w:rsid w:val="004A7821"/>
    <w:rsid w:val="004C19CC"/>
    <w:rsid w:val="004E581E"/>
    <w:rsid w:val="004F123A"/>
    <w:rsid w:val="00500938"/>
    <w:rsid w:val="005072D6"/>
    <w:rsid w:val="00530E95"/>
    <w:rsid w:val="00532D94"/>
    <w:rsid w:val="0055632A"/>
    <w:rsid w:val="00583445"/>
    <w:rsid w:val="00587102"/>
    <w:rsid w:val="005979C6"/>
    <w:rsid w:val="005C1871"/>
    <w:rsid w:val="005C79DF"/>
    <w:rsid w:val="005E79B4"/>
    <w:rsid w:val="00606D1A"/>
    <w:rsid w:val="00611B89"/>
    <w:rsid w:val="00612B32"/>
    <w:rsid w:val="00625A47"/>
    <w:rsid w:val="00634D33"/>
    <w:rsid w:val="0064009B"/>
    <w:rsid w:val="00647F3A"/>
    <w:rsid w:val="00656292"/>
    <w:rsid w:val="00662DAE"/>
    <w:rsid w:val="00667E91"/>
    <w:rsid w:val="0069658B"/>
    <w:rsid w:val="006A37EE"/>
    <w:rsid w:val="006B32BE"/>
    <w:rsid w:val="006C519C"/>
    <w:rsid w:val="006D7C1A"/>
    <w:rsid w:val="006F02B8"/>
    <w:rsid w:val="006F3D6C"/>
    <w:rsid w:val="00704591"/>
    <w:rsid w:val="007068E2"/>
    <w:rsid w:val="00706C2A"/>
    <w:rsid w:val="0071505D"/>
    <w:rsid w:val="00723566"/>
    <w:rsid w:val="00742AB4"/>
    <w:rsid w:val="00747152"/>
    <w:rsid w:val="0075246D"/>
    <w:rsid w:val="00755C97"/>
    <w:rsid w:val="00777525"/>
    <w:rsid w:val="0079114F"/>
    <w:rsid w:val="007B2469"/>
    <w:rsid w:val="007B3250"/>
    <w:rsid w:val="007B67C9"/>
    <w:rsid w:val="007C0243"/>
    <w:rsid w:val="007C240E"/>
    <w:rsid w:val="007D1DC5"/>
    <w:rsid w:val="007D42F3"/>
    <w:rsid w:val="0080086D"/>
    <w:rsid w:val="00802EBB"/>
    <w:rsid w:val="00814202"/>
    <w:rsid w:val="00832686"/>
    <w:rsid w:val="008362B5"/>
    <w:rsid w:val="0084334A"/>
    <w:rsid w:val="008566F2"/>
    <w:rsid w:val="008B3234"/>
    <w:rsid w:val="008B437E"/>
    <w:rsid w:val="008C7712"/>
    <w:rsid w:val="00903F60"/>
    <w:rsid w:val="00903FDC"/>
    <w:rsid w:val="009243FF"/>
    <w:rsid w:val="00926445"/>
    <w:rsid w:val="009638C0"/>
    <w:rsid w:val="00963A70"/>
    <w:rsid w:val="00963C07"/>
    <w:rsid w:val="00997C30"/>
    <w:rsid w:val="009A008E"/>
    <w:rsid w:val="009A42A3"/>
    <w:rsid w:val="009D6719"/>
    <w:rsid w:val="009F3A0B"/>
    <w:rsid w:val="00A23EC4"/>
    <w:rsid w:val="00A30127"/>
    <w:rsid w:val="00A5715B"/>
    <w:rsid w:val="00A733AC"/>
    <w:rsid w:val="00A74001"/>
    <w:rsid w:val="00A843D8"/>
    <w:rsid w:val="00A976D9"/>
    <w:rsid w:val="00AA7E16"/>
    <w:rsid w:val="00AB270F"/>
    <w:rsid w:val="00AD2CD2"/>
    <w:rsid w:val="00AD3E7B"/>
    <w:rsid w:val="00AF1433"/>
    <w:rsid w:val="00B00346"/>
    <w:rsid w:val="00B21FB2"/>
    <w:rsid w:val="00B42633"/>
    <w:rsid w:val="00B523EF"/>
    <w:rsid w:val="00B53485"/>
    <w:rsid w:val="00B57E98"/>
    <w:rsid w:val="00B77F5F"/>
    <w:rsid w:val="00BA2CCA"/>
    <w:rsid w:val="00BD4419"/>
    <w:rsid w:val="00BF3491"/>
    <w:rsid w:val="00C00EAF"/>
    <w:rsid w:val="00C24056"/>
    <w:rsid w:val="00C338DF"/>
    <w:rsid w:val="00C44E37"/>
    <w:rsid w:val="00C47F87"/>
    <w:rsid w:val="00C6575B"/>
    <w:rsid w:val="00C75323"/>
    <w:rsid w:val="00C94836"/>
    <w:rsid w:val="00CA58B2"/>
    <w:rsid w:val="00CD0221"/>
    <w:rsid w:val="00CE6E8A"/>
    <w:rsid w:val="00CF3017"/>
    <w:rsid w:val="00CF4461"/>
    <w:rsid w:val="00CF74CE"/>
    <w:rsid w:val="00D00196"/>
    <w:rsid w:val="00D02A29"/>
    <w:rsid w:val="00D20D0A"/>
    <w:rsid w:val="00D34807"/>
    <w:rsid w:val="00D34CDE"/>
    <w:rsid w:val="00D44577"/>
    <w:rsid w:val="00D558D2"/>
    <w:rsid w:val="00D81FE7"/>
    <w:rsid w:val="00DA566C"/>
    <w:rsid w:val="00DC0F92"/>
    <w:rsid w:val="00DD2BCF"/>
    <w:rsid w:val="00E01FA8"/>
    <w:rsid w:val="00E04ACB"/>
    <w:rsid w:val="00E57ACD"/>
    <w:rsid w:val="00E633F9"/>
    <w:rsid w:val="00EA1DF4"/>
    <w:rsid w:val="00EA2476"/>
    <w:rsid w:val="00EA5F63"/>
    <w:rsid w:val="00EC0B9C"/>
    <w:rsid w:val="00EC48B7"/>
    <w:rsid w:val="00EF4C28"/>
    <w:rsid w:val="00F0423D"/>
    <w:rsid w:val="00F04983"/>
    <w:rsid w:val="00F1393E"/>
    <w:rsid w:val="00F22E81"/>
    <w:rsid w:val="00F35DAD"/>
    <w:rsid w:val="00F425CC"/>
    <w:rsid w:val="00F478D6"/>
    <w:rsid w:val="00F64393"/>
    <w:rsid w:val="00F67A32"/>
    <w:rsid w:val="00F82AE8"/>
    <w:rsid w:val="00F924CA"/>
    <w:rsid w:val="00FD5408"/>
    <w:rsid w:val="00FF66E7"/>
    <w:rsid w:val="00FF721C"/>
    <w:rsid w:val="08581FA2"/>
    <w:rsid w:val="338151AC"/>
    <w:rsid w:val="421107CE"/>
    <w:rsid w:val="49E52A81"/>
    <w:rsid w:val="7450168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unhideWhenUsed/>
    <w:qFormat/>
    <w:uiPriority w:val="99"/>
    <w:pPr>
      <w:jc w:val="left"/>
    </w:pPr>
  </w:style>
  <w:style w:type="paragraph" w:styleId="3">
    <w:name w:val="Balloon Text"/>
    <w:basedOn w:val="1"/>
    <w:link w:val="13"/>
    <w:unhideWhenUsed/>
    <w:uiPriority w:val="99"/>
    <w:rPr>
      <w:sz w:val="18"/>
      <w:szCs w:val="18"/>
    </w:rPr>
  </w:style>
  <w:style w:type="paragraph" w:styleId="4">
    <w:name w:val="footer"/>
    <w:basedOn w:val="1"/>
    <w:link w:val="11"/>
    <w:unhideWhenUsed/>
    <w:uiPriority w:val="99"/>
    <w:pPr>
      <w:tabs>
        <w:tab w:val="center" w:pos="4153"/>
        <w:tab w:val="right" w:pos="8306"/>
      </w:tabs>
      <w:snapToGrid w:val="0"/>
      <w:jc w:val="left"/>
    </w:pPr>
    <w:rPr>
      <w:sz w:val="18"/>
      <w:szCs w:val="18"/>
    </w:rPr>
  </w:style>
  <w:style w:type="paragraph" w:styleId="5">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unhideWhenUsed/>
    <w:qFormat/>
    <w:uiPriority w:val="99"/>
    <w:rPr>
      <w:b/>
      <w:bCs/>
    </w:rPr>
  </w:style>
  <w:style w:type="character" w:styleId="9">
    <w:name w:val="annotation reference"/>
    <w:basedOn w:val="8"/>
    <w:unhideWhenUsed/>
    <w:qFormat/>
    <w:uiPriority w:val="99"/>
    <w:rPr>
      <w:sz w:val="21"/>
      <w:szCs w:val="21"/>
    </w:rPr>
  </w:style>
  <w:style w:type="character" w:customStyle="1" w:styleId="10">
    <w:name w:val="页眉 Char"/>
    <w:basedOn w:val="8"/>
    <w:link w:val="5"/>
    <w:uiPriority w:val="99"/>
    <w:rPr>
      <w:sz w:val="18"/>
      <w:szCs w:val="18"/>
    </w:rPr>
  </w:style>
  <w:style w:type="character" w:customStyle="1" w:styleId="11">
    <w:name w:val="页脚 Char"/>
    <w:basedOn w:val="8"/>
    <w:link w:val="4"/>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8"/>
    <w:link w:val="3"/>
    <w:semiHidden/>
    <w:uiPriority w:val="99"/>
    <w:rPr>
      <w:sz w:val="18"/>
      <w:szCs w:val="18"/>
    </w:rPr>
  </w:style>
  <w:style w:type="character" w:customStyle="1" w:styleId="14">
    <w:name w:val="批注文字 Char"/>
    <w:basedOn w:val="8"/>
    <w:link w:val="2"/>
    <w:semiHidden/>
    <w:qFormat/>
    <w:uiPriority w:val="99"/>
  </w:style>
  <w:style w:type="character" w:customStyle="1" w:styleId="15">
    <w:name w:val="批注主题 Char"/>
    <w:basedOn w:val="14"/>
    <w:link w:val="6"/>
    <w:semiHidden/>
    <w:qFormat/>
    <w:uiPriority w:val="99"/>
    <w:rPr>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2803</Words>
  <Characters>2837</Characters>
  <Lines>20</Lines>
  <Paragraphs>5</Paragraphs>
  <TotalTime>0</TotalTime>
  <ScaleCrop>false</ScaleCrop>
  <LinksUpToDate>false</LinksUpToDate>
  <CharactersWithSpaces>2847</CharactersWithSpaces>
  <Application>WPS Office_11.1.0.12651_F1E327BC-269C-435d-A152-05C5408002CA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2018-01-15T07:32:00Z</dcterms:created>
  <dc:creator>刘忠宝</dc:creator>
  <cp:lastModifiedBy>H</cp:lastModifiedBy>
  <cp:lastPrinted>2018-03-31T02:08:00Z</cp:lastPrinted>
  <dcterms:modified xsi:type="dcterms:W3CDTF">2023-02-23T00:20:31Z</dcterms:modified>
  <cp:revision>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2052-11.1.0.12651</vt:lpwstr>
  </property>
  <property fmtid="{D5CDD505-2E9C-101B-9397-08002B2CF9AE}" pid="3" name="ICV">
    <vt:lpwstr>19C9D1FDCE5443889195BBD6AB6EBFFF</vt:lpwstr>
  </property>
</Properties>
</file>