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858" w:rsidRPr="00EF3184" w:rsidRDefault="00BE1858" w:rsidP="00BE1858">
      <w:pPr>
        <w:shd w:val="clear" w:color="F5F8FD" w:fill="auto"/>
        <w:autoSpaceDN w:val="0"/>
        <w:adjustRightInd w:val="0"/>
        <w:snapToGrid w:val="0"/>
        <w:spacing w:line="520" w:lineRule="exact"/>
        <w:ind w:rightChars="-27" w:right="-57"/>
        <w:jc w:val="left"/>
        <w:rPr>
          <w:rFonts w:ascii="仿宋" w:eastAsia="仿宋" w:hAnsi="仿宋" w:hint="eastAsia"/>
          <w:sz w:val="28"/>
          <w:szCs w:val="28"/>
        </w:rPr>
      </w:pPr>
      <w:r w:rsidRPr="00EF3184">
        <w:rPr>
          <w:rFonts w:ascii="仿宋" w:eastAsia="仿宋" w:hAnsi="仿宋" w:hint="eastAsia"/>
          <w:sz w:val="28"/>
          <w:szCs w:val="28"/>
        </w:rPr>
        <w:t>附15：</w:t>
      </w:r>
    </w:p>
    <w:p w:rsidR="00BE1858" w:rsidRPr="00EF3184" w:rsidRDefault="00BE1858" w:rsidP="00BE1858">
      <w:pPr>
        <w:shd w:val="clear" w:color="F5F8FD" w:fill="auto"/>
        <w:autoSpaceDN w:val="0"/>
        <w:adjustRightInd w:val="0"/>
        <w:snapToGrid w:val="0"/>
        <w:spacing w:line="520" w:lineRule="exact"/>
        <w:ind w:rightChars="-27" w:right="-57"/>
        <w:jc w:val="center"/>
        <w:rPr>
          <w:rFonts w:ascii="仿宋" w:eastAsia="仿宋" w:hAnsi="仿宋" w:hint="eastAsia"/>
          <w:b/>
          <w:sz w:val="28"/>
          <w:szCs w:val="28"/>
        </w:rPr>
      </w:pPr>
    </w:p>
    <w:p w:rsidR="00BE1858" w:rsidRPr="00EF3184" w:rsidRDefault="00BE1858" w:rsidP="00BE1858">
      <w:pPr>
        <w:shd w:val="clear" w:color="F5F8FD" w:fill="auto"/>
        <w:autoSpaceDN w:val="0"/>
        <w:adjustRightInd w:val="0"/>
        <w:snapToGrid w:val="0"/>
        <w:spacing w:line="520" w:lineRule="exact"/>
        <w:ind w:rightChars="-27" w:right="-57"/>
        <w:jc w:val="center"/>
        <w:rPr>
          <w:rFonts w:ascii="仿宋" w:eastAsia="仿宋" w:hAnsi="仿宋" w:hint="eastAsia"/>
          <w:b/>
          <w:sz w:val="28"/>
          <w:szCs w:val="28"/>
        </w:rPr>
      </w:pPr>
      <w:r w:rsidRPr="00EF3184">
        <w:rPr>
          <w:rFonts w:ascii="仿宋" w:eastAsia="仿宋" w:hAnsi="仿宋" w:hint="eastAsia"/>
          <w:b/>
          <w:sz w:val="28"/>
          <w:szCs w:val="28"/>
        </w:rPr>
        <w:t>海洋捕捞渔船报废拆解分档补助参考标准表</w:t>
      </w:r>
    </w:p>
    <w:p w:rsidR="00BE1858" w:rsidRPr="00EF3184" w:rsidRDefault="00BE1858" w:rsidP="00BE1858">
      <w:pPr>
        <w:shd w:val="clear" w:color="F5F8FD" w:fill="auto"/>
        <w:autoSpaceDN w:val="0"/>
        <w:adjustRightInd w:val="0"/>
        <w:snapToGrid w:val="0"/>
        <w:spacing w:line="520" w:lineRule="exact"/>
        <w:ind w:rightChars="-27" w:right="-57"/>
        <w:jc w:val="center"/>
        <w:rPr>
          <w:rFonts w:ascii="仿宋" w:eastAsia="仿宋" w:hAnsi="仿宋" w:hint="eastAsia"/>
          <w:b/>
          <w:sz w:val="28"/>
          <w:szCs w:val="28"/>
        </w:rPr>
      </w:pPr>
    </w:p>
    <w:tbl>
      <w:tblPr>
        <w:tblW w:w="8095" w:type="dxa"/>
        <w:tblInd w:w="93" w:type="dxa"/>
        <w:tblLayout w:type="fixed"/>
        <w:tblLook w:val="0000"/>
      </w:tblPr>
      <w:tblGrid>
        <w:gridCol w:w="560"/>
        <w:gridCol w:w="1582"/>
        <w:gridCol w:w="1488"/>
        <w:gridCol w:w="1488"/>
        <w:gridCol w:w="1488"/>
        <w:gridCol w:w="1489"/>
      </w:tblGrid>
      <w:tr w:rsidR="00BE1858" w:rsidRPr="00EF3184" w:rsidTr="00132106">
        <w:trPr>
          <w:trHeight w:val="1305"/>
        </w:trPr>
        <w:tc>
          <w:tcPr>
            <w:tcW w:w="2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 xml:space="preserve">  </w:t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 xml:space="preserve">   补助工作类型</w:t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br/>
              <w:t xml:space="preserve">                  渔船材质和分档           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渔船拆解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人工鱼礁</w:t>
            </w:r>
          </w:p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改造</w:t>
            </w:r>
          </w:p>
        </w:tc>
        <w:tc>
          <w:tcPr>
            <w:tcW w:w="1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减船废料</w:t>
            </w:r>
          </w:p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无害化处理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渔具</w:t>
            </w:r>
          </w:p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集中销毁</w:t>
            </w:r>
          </w:p>
        </w:tc>
      </w:tr>
      <w:tr w:rsidR="00BE1858" w:rsidRPr="00EF3184" w:rsidTr="00132106">
        <w:trPr>
          <w:trHeight w:val="55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木质渔船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船长&lt;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b/>
                  <w:bCs/>
                  <w:kern w:val="0"/>
                  <w:sz w:val="24"/>
                  <w:szCs w:val="24"/>
                </w:rPr>
                <w:t>12米</w:t>
              </w:r>
            </w:smartTag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0.0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0.0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0.5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0.5 </w:t>
            </w:r>
          </w:p>
        </w:tc>
      </w:tr>
      <w:tr w:rsidR="00BE1858" w:rsidRPr="00EF3184" w:rsidTr="00132106">
        <w:trPr>
          <w:trHeight w:val="55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b/>
                  <w:bCs/>
                  <w:kern w:val="0"/>
                  <w:sz w:val="24"/>
                  <w:szCs w:val="24"/>
                </w:rPr>
                <w:t>12米</w:t>
              </w:r>
            </w:smartTag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4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b/>
                  <w:bCs/>
                  <w:kern w:val="0"/>
                  <w:sz w:val="24"/>
                  <w:szCs w:val="24"/>
                </w:rPr>
                <w:t>24米</w:t>
              </w:r>
            </w:smartTag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1.0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0.0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1.0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0.5 </w:t>
            </w:r>
          </w:p>
        </w:tc>
      </w:tr>
      <w:tr w:rsidR="00BE1858" w:rsidRPr="00EF3184" w:rsidTr="00132106">
        <w:trPr>
          <w:trHeight w:val="55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4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b/>
                  <w:bCs/>
                  <w:kern w:val="0"/>
                  <w:sz w:val="24"/>
                  <w:szCs w:val="24"/>
                </w:rPr>
                <w:t>24米</w:t>
              </w:r>
            </w:smartTag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≤船长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1.5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0.0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1.0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0.5 </w:t>
            </w:r>
          </w:p>
        </w:tc>
      </w:tr>
      <w:tr w:rsidR="00BE1858" w:rsidRPr="00EF3184" w:rsidTr="00132106">
        <w:trPr>
          <w:trHeight w:val="555"/>
        </w:trPr>
        <w:tc>
          <w:tcPr>
            <w:tcW w:w="5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钢制渔船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船长&lt;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b/>
                  <w:bCs/>
                  <w:kern w:val="0"/>
                  <w:sz w:val="24"/>
                  <w:szCs w:val="24"/>
                </w:rPr>
                <w:t>12米</w:t>
              </w:r>
            </w:smartTag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1.0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0.0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0.5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0.5 </w:t>
            </w:r>
          </w:p>
        </w:tc>
      </w:tr>
      <w:tr w:rsidR="00BE1858" w:rsidRPr="00EF3184" w:rsidTr="00132106">
        <w:trPr>
          <w:trHeight w:val="55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b/>
                  <w:bCs/>
                  <w:kern w:val="0"/>
                  <w:sz w:val="24"/>
                  <w:szCs w:val="24"/>
                </w:rPr>
                <w:t>12米</w:t>
              </w:r>
            </w:smartTag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4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b/>
                  <w:bCs/>
                  <w:kern w:val="0"/>
                  <w:sz w:val="24"/>
                  <w:szCs w:val="24"/>
                </w:rPr>
                <w:t>24米</w:t>
              </w:r>
            </w:smartTag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2.0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4.0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1.0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0.5 </w:t>
            </w:r>
          </w:p>
        </w:tc>
      </w:tr>
      <w:tr w:rsidR="00BE1858" w:rsidRPr="00EF3184" w:rsidTr="00132106">
        <w:trPr>
          <w:trHeight w:val="555"/>
        </w:trPr>
        <w:tc>
          <w:tcPr>
            <w:tcW w:w="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4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b/>
                  <w:bCs/>
                  <w:kern w:val="0"/>
                  <w:sz w:val="24"/>
                  <w:szCs w:val="24"/>
                </w:rPr>
                <w:t>24米</w:t>
              </w:r>
            </w:smartTag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≤船长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3.0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5.0 </w:t>
            </w:r>
          </w:p>
        </w:tc>
        <w:tc>
          <w:tcPr>
            <w:tcW w:w="14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1.0 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0.5 </w:t>
            </w:r>
          </w:p>
        </w:tc>
      </w:tr>
      <w:tr w:rsidR="00BE1858" w:rsidRPr="00EF3184" w:rsidTr="00132106">
        <w:trPr>
          <w:trHeight w:val="405"/>
        </w:trPr>
        <w:tc>
          <w:tcPr>
            <w:tcW w:w="809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32"/>
                <w:szCs w:val="32"/>
              </w:rPr>
              <w:t>说明：补助金额单位为万元。</w:t>
            </w:r>
          </w:p>
        </w:tc>
      </w:tr>
    </w:tbl>
    <w:p w:rsidR="00BE1858" w:rsidRPr="00EF3184" w:rsidRDefault="00BE1858" w:rsidP="00BE1858">
      <w:pPr>
        <w:rPr>
          <w:rFonts w:ascii="仿宋" w:eastAsia="仿宋" w:hAnsi="仿宋"/>
        </w:rPr>
      </w:pPr>
    </w:p>
    <w:p w:rsidR="00BE1858" w:rsidRPr="00EF3184" w:rsidRDefault="00BE1858" w:rsidP="00BE1858">
      <w:pPr>
        <w:shd w:val="clear" w:color="F5F8FD" w:fill="auto"/>
        <w:autoSpaceDN w:val="0"/>
        <w:adjustRightInd w:val="0"/>
        <w:snapToGrid w:val="0"/>
        <w:spacing w:line="520" w:lineRule="exact"/>
        <w:ind w:rightChars="-27" w:right="-57"/>
        <w:jc w:val="left"/>
        <w:rPr>
          <w:rFonts w:ascii="仿宋" w:eastAsia="仿宋" w:hAnsi="仿宋"/>
          <w:sz w:val="28"/>
          <w:szCs w:val="28"/>
        </w:rPr>
      </w:pPr>
    </w:p>
    <w:p w:rsidR="00BE1858" w:rsidRPr="00EF3184" w:rsidRDefault="00BE1858" w:rsidP="00BE1858">
      <w:pPr>
        <w:shd w:val="clear" w:color="F5F8FD" w:fill="auto"/>
        <w:autoSpaceDN w:val="0"/>
        <w:adjustRightInd w:val="0"/>
        <w:snapToGrid w:val="0"/>
        <w:spacing w:line="520" w:lineRule="exact"/>
        <w:ind w:rightChars="-27" w:right="-57"/>
        <w:jc w:val="left"/>
        <w:rPr>
          <w:rFonts w:ascii="仿宋" w:eastAsia="仿宋" w:hAnsi="仿宋" w:hint="eastAsia"/>
          <w:sz w:val="28"/>
          <w:szCs w:val="28"/>
        </w:rPr>
      </w:pPr>
      <w:r w:rsidRPr="00EF3184">
        <w:rPr>
          <w:rFonts w:ascii="仿宋" w:eastAsia="仿宋" w:hAnsi="仿宋"/>
          <w:sz w:val="28"/>
          <w:szCs w:val="28"/>
        </w:rPr>
        <w:br w:type="page"/>
      </w:r>
      <w:r w:rsidRPr="00EF3184">
        <w:rPr>
          <w:rFonts w:ascii="仿宋" w:eastAsia="仿宋" w:hAnsi="仿宋" w:hint="eastAsia"/>
          <w:sz w:val="28"/>
          <w:szCs w:val="28"/>
        </w:rPr>
        <w:lastRenderedPageBreak/>
        <w:t>附16：</w:t>
      </w:r>
    </w:p>
    <w:p w:rsidR="00BE1858" w:rsidRPr="00EF3184" w:rsidRDefault="00BE1858" w:rsidP="00BE1858">
      <w:pPr>
        <w:shd w:val="clear" w:color="F5F8FD" w:fill="auto"/>
        <w:autoSpaceDN w:val="0"/>
        <w:adjustRightInd w:val="0"/>
        <w:snapToGrid w:val="0"/>
        <w:spacing w:line="520" w:lineRule="exact"/>
        <w:ind w:rightChars="-27" w:right="-57"/>
        <w:jc w:val="center"/>
        <w:rPr>
          <w:rFonts w:ascii="仿宋" w:eastAsia="仿宋" w:hAnsi="仿宋" w:hint="eastAsia"/>
          <w:b/>
          <w:sz w:val="28"/>
          <w:szCs w:val="28"/>
        </w:rPr>
      </w:pPr>
    </w:p>
    <w:p w:rsidR="00BE1858" w:rsidRPr="00EF3184" w:rsidRDefault="00BE1858" w:rsidP="00BE1858">
      <w:pPr>
        <w:shd w:val="clear" w:color="F5F8FD" w:fill="auto"/>
        <w:autoSpaceDN w:val="0"/>
        <w:adjustRightInd w:val="0"/>
        <w:snapToGrid w:val="0"/>
        <w:spacing w:line="520" w:lineRule="exact"/>
        <w:ind w:rightChars="-27" w:right="-57"/>
        <w:jc w:val="center"/>
        <w:rPr>
          <w:rFonts w:ascii="仿宋" w:eastAsia="仿宋" w:hAnsi="仿宋" w:hint="eastAsia"/>
          <w:b/>
          <w:sz w:val="28"/>
          <w:szCs w:val="28"/>
        </w:rPr>
      </w:pPr>
      <w:r w:rsidRPr="00EF3184">
        <w:rPr>
          <w:rFonts w:ascii="仿宋" w:eastAsia="仿宋" w:hAnsi="仿宋" w:hint="eastAsia"/>
          <w:b/>
          <w:sz w:val="28"/>
          <w:szCs w:val="28"/>
        </w:rPr>
        <w:t>海洋捕捞渔船更新改造分档补助参考标准表</w:t>
      </w:r>
    </w:p>
    <w:p w:rsidR="00BE1858" w:rsidRPr="00EF3184" w:rsidRDefault="00BE1858" w:rsidP="00BE1858">
      <w:pPr>
        <w:shd w:val="clear" w:color="F5F8FD" w:fill="auto"/>
        <w:autoSpaceDN w:val="0"/>
        <w:adjustRightInd w:val="0"/>
        <w:snapToGrid w:val="0"/>
        <w:spacing w:line="520" w:lineRule="exact"/>
        <w:ind w:rightChars="-27" w:right="-57"/>
        <w:jc w:val="center"/>
        <w:rPr>
          <w:rFonts w:ascii="仿宋" w:eastAsia="仿宋" w:hAnsi="仿宋" w:hint="eastAsia"/>
          <w:b/>
          <w:sz w:val="28"/>
          <w:szCs w:val="28"/>
        </w:rPr>
      </w:pPr>
    </w:p>
    <w:tbl>
      <w:tblPr>
        <w:tblW w:w="8237" w:type="dxa"/>
        <w:tblInd w:w="93" w:type="dxa"/>
        <w:tblLook w:val="0000"/>
      </w:tblPr>
      <w:tblGrid>
        <w:gridCol w:w="2000"/>
        <w:gridCol w:w="1276"/>
        <w:gridCol w:w="1417"/>
        <w:gridCol w:w="2126"/>
        <w:gridCol w:w="1418"/>
      </w:tblGrid>
      <w:tr w:rsidR="00BE1858" w:rsidRPr="00EF3184" w:rsidTr="00132106">
        <w:trPr>
          <w:trHeight w:val="123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钢质渔船分档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补助金额</w:t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br/>
              <w:t>（不带制冷系统）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补助金额</w:t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br/>
              <w:t>（带制冷系统）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玻璃钢渔船分档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Cs w:val="21"/>
              </w:rPr>
              <w:t>补助金额</w:t>
            </w:r>
          </w:p>
        </w:tc>
      </w:tr>
      <w:tr w:rsidR="00BE1858" w:rsidRPr="00EF3184" w:rsidTr="00132106">
        <w:trPr>
          <w:trHeight w:val="4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ind w:firstLineChars="300" w:firstLine="630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12米</w:t>
              </w:r>
            </w:smartTag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ind w:firstLineChars="350" w:firstLine="735"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12米</w:t>
              </w:r>
            </w:smartTag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8</w:t>
            </w:r>
          </w:p>
        </w:tc>
      </w:tr>
      <w:tr w:rsidR="00BE1858" w:rsidRPr="00EF3184" w:rsidTr="00132106">
        <w:trPr>
          <w:trHeight w:val="4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12米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5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15米</w:t>
              </w:r>
            </w:smartTag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2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12米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5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15米</w:t>
              </w:r>
            </w:smartTag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</w:tr>
      <w:tr w:rsidR="00BE1858" w:rsidRPr="00EF3184" w:rsidTr="00132106">
        <w:trPr>
          <w:trHeight w:val="4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5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15米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8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18米</w:t>
              </w:r>
            </w:smartTag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15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5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15米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8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18米</w:t>
              </w:r>
            </w:smartTag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25</w:t>
            </w:r>
          </w:p>
        </w:tc>
      </w:tr>
      <w:tr w:rsidR="00BE1858" w:rsidRPr="00EF3184" w:rsidTr="00132106">
        <w:trPr>
          <w:trHeight w:val="4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8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18米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1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21米</w:t>
              </w:r>
            </w:smartTag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8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18米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1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21米</w:t>
              </w:r>
            </w:smartTag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40</w:t>
            </w:r>
          </w:p>
        </w:tc>
      </w:tr>
      <w:tr w:rsidR="00BE1858" w:rsidRPr="00EF3184" w:rsidTr="00132106">
        <w:trPr>
          <w:trHeight w:val="4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1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21米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4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24米</w:t>
              </w:r>
            </w:smartTag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25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1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21米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4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24米</w:t>
              </w:r>
            </w:smartTag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50</w:t>
            </w:r>
          </w:p>
        </w:tc>
      </w:tr>
      <w:tr w:rsidR="00BE1858" w:rsidRPr="00EF3184" w:rsidTr="00132106">
        <w:trPr>
          <w:trHeight w:val="4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4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24米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7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27米</w:t>
              </w:r>
            </w:smartTag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40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4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24米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7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27米</w:t>
              </w:r>
            </w:smartTag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80</w:t>
            </w:r>
          </w:p>
        </w:tc>
      </w:tr>
      <w:tr w:rsidR="00BE1858" w:rsidRPr="00EF3184" w:rsidTr="00132106">
        <w:trPr>
          <w:trHeight w:val="4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7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27米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0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30米</w:t>
              </w:r>
            </w:smartTag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7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27米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0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30米</w:t>
              </w:r>
            </w:smartTag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120</w:t>
            </w:r>
          </w:p>
        </w:tc>
      </w:tr>
      <w:tr w:rsidR="00BE1858" w:rsidRPr="00EF3184" w:rsidTr="00132106">
        <w:trPr>
          <w:trHeight w:val="4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0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30米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3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33米</w:t>
              </w:r>
            </w:smartTag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90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0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30米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3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33米</w:t>
              </w:r>
            </w:smartTag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150</w:t>
            </w:r>
          </w:p>
        </w:tc>
      </w:tr>
      <w:tr w:rsidR="00BE1858" w:rsidRPr="00EF3184" w:rsidTr="00132106">
        <w:trPr>
          <w:trHeight w:val="4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3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33米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6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36米</w:t>
              </w:r>
            </w:smartTag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110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3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33米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6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36米</w:t>
              </w:r>
            </w:smartTag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200</w:t>
            </w:r>
          </w:p>
        </w:tc>
      </w:tr>
      <w:tr w:rsidR="00BE1858" w:rsidRPr="00EF3184" w:rsidTr="00132106">
        <w:trPr>
          <w:trHeight w:val="4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6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36米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0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40米</w:t>
              </w:r>
            </w:smartTag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120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160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6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36米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0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40米</w:t>
              </w:r>
            </w:smartTag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280</w:t>
            </w:r>
          </w:p>
        </w:tc>
      </w:tr>
      <w:tr w:rsidR="00BE1858" w:rsidRPr="00EF3184" w:rsidTr="00132106">
        <w:trPr>
          <w:trHeight w:val="4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0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40米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5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45米</w:t>
              </w:r>
            </w:smartTag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250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0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40米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320</w:t>
            </w:r>
          </w:p>
        </w:tc>
      </w:tr>
      <w:tr w:rsidR="00BE1858" w:rsidRPr="00EF3184" w:rsidTr="00132106">
        <w:trPr>
          <w:trHeight w:val="4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5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45米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50米</w:t>
              </w:r>
            </w:smartTag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300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BE1858" w:rsidRPr="00EF3184" w:rsidTr="00132106">
        <w:trPr>
          <w:trHeight w:val="40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0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50米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≤船长＜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5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55米</w:t>
              </w:r>
            </w:smartTag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350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BE1858" w:rsidRPr="00EF3184" w:rsidTr="00132106">
        <w:trPr>
          <w:trHeight w:val="42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55"/>
                <w:attr w:name="UnitName" w:val="米"/>
              </w:smartTagPr>
              <w:r w:rsidRPr="00EF3184">
                <w:rPr>
                  <w:rFonts w:ascii="仿宋" w:eastAsia="仿宋" w:hAnsi="仿宋" w:cs="宋体" w:hint="eastAsia"/>
                  <w:kern w:val="0"/>
                  <w:szCs w:val="21"/>
                </w:rPr>
                <w:t>55米</w:t>
              </w:r>
            </w:smartTag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≤船长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400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 xml:space="preserve">　</w:t>
            </w:r>
          </w:p>
        </w:tc>
      </w:tr>
      <w:tr w:rsidR="00BE1858" w:rsidRPr="00EF3184" w:rsidTr="00132106">
        <w:trPr>
          <w:trHeight w:val="1050"/>
        </w:trPr>
        <w:tc>
          <w:tcPr>
            <w:tcW w:w="8237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Cs w:val="21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Cs w:val="21"/>
              </w:rPr>
              <w:t>说明：1.表中补助金额单位为万元；2. 制冷系统须包括压缩机、冷凝器、蒸发盘管、储液罐等。</w:t>
            </w:r>
          </w:p>
        </w:tc>
      </w:tr>
    </w:tbl>
    <w:p w:rsidR="00BE1858" w:rsidRPr="00EF3184" w:rsidRDefault="00BE1858" w:rsidP="00BE1858">
      <w:pPr>
        <w:shd w:val="clear" w:color="F5F8FD" w:fill="auto"/>
        <w:autoSpaceDN w:val="0"/>
        <w:adjustRightInd w:val="0"/>
        <w:snapToGrid w:val="0"/>
        <w:spacing w:line="520" w:lineRule="exact"/>
        <w:ind w:rightChars="-27" w:right="-57" w:firstLineChars="215" w:firstLine="602"/>
        <w:jc w:val="left"/>
        <w:rPr>
          <w:rFonts w:ascii="仿宋" w:eastAsia="仿宋" w:hAnsi="仿宋" w:hint="eastAsia"/>
          <w:sz w:val="28"/>
          <w:szCs w:val="28"/>
        </w:rPr>
      </w:pPr>
    </w:p>
    <w:p w:rsidR="00BE1858" w:rsidRPr="00EF3184" w:rsidRDefault="00BE1858" w:rsidP="00BE1858">
      <w:pPr>
        <w:shd w:val="clear" w:color="F5F8FD" w:fill="auto"/>
        <w:autoSpaceDN w:val="0"/>
        <w:adjustRightInd w:val="0"/>
        <w:snapToGrid w:val="0"/>
        <w:spacing w:line="520" w:lineRule="exact"/>
        <w:ind w:rightChars="-27" w:right="-57"/>
        <w:jc w:val="left"/>
        <w:rPr>
          <w:rFonts w:ascii="仿宋" w:eastAsia="仿宋" w:hAnsi="仿宋" w:hint="eastAsia"/>
          <w:b/>
          <w:sz w:val="28"/>
          <w:szCs w:val="28"/>
        </w:rPr>
      </w:pPr>
      <w:r w:rsidRPr="00EF3184">
        <w:rPr>
          <w:rFonts w:ascii="仿宋" w:eastAsia="仿宋" w:hAnsi="仿宋"/>
          <w:sz w:val="28"/>
          <w:szCs w:val="28"/>
        </w:rPr>
        <w:br w:type="page"/>
      </w:r>
      <w:r w:rsidRPr="00EF3184">
        <w:rPr>
          <w:rFonts w:ascii="仿宋" w:eastAsia="仿宋" w:hAnsi="仿宋" w:hint="eastAsia"/>
          <w:sz w:val="28"/>
          <w:szCs w:val="28"/>
        </w:rPr>
        <w:t>附17：</w:t>
      </w:r>
    </w:p>
    <w:p w:rsidR="00BE1858" w:rsidRPr="00EF3184" w:rsidRDefault="00BE1858" w:rsidP="00BE1858">
      <w:pPr>
        <w:shd w:val="clear" w:color="F5F8FD" w:fill="auto"/>
        <w:autoSpaceDN w:val="0"/>
        <w:adjustRightInd w:val="0"/>
        <w:snapToGrid w:val="0"/>
        <w:spacing w:line="520" w:lineRule="exact"/>
        <w:ind w:rightChars="-27" w:right="-57"/>
        <w:jc w:val="center"/>
        <w:rPr>
          <w:rFonts w:ascii="仿宋" w:eastAsia="仿宋" w:hAnsi="仿宋" w:hint="eastAsia"/>
          <w:b/>
          <w:sz w:val="28"/>
          <w:szCs w:val="28"/>
        </w:rPr>
      </w:pPr>
      <w:r w:rsidRPr="00EF3184">
        <w:rPr>
          <w:rFonts w:ascii="仿宋" w:eastAsia="仿宋" w:hAnsi="仿宋" w:hint="eastAsia"/>
          <w:b/>
          <w:sz w:val="28"/>
          <w:szCs w:val="28"/>
        </w:rPr>
        <w:t>渔业装备设施建设分档补助参考标准表</w:t>
      </w:r>
    </w:p>
    <w:tbl>
      <w:tblPr>
        <w:tblW w:w="9229" w:type="dxa"/>
        <w:tblInd w:w="93" w:type="dxa"/>
        <w:tblLook w:val="0000"/>
      </w:tblPr>
      <w:tblGrid>
        <w:gridCol w:w="1008"/>
        <w:gridCol w:w="1701"/>
        <w:gridCol w:w="3118"/>
        <w:gridCol w:w="3402"/>
      </w:tblGrid>
      <w:tr w:rsidR="00BE1858" w:rsidRPr="00EF3184" w:rsidTr="00132106">
        <w:trPr>
          <w:trHeight w:val="570"/>
        </w:trPr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补助项目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补助内容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补助标准（上限）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备注</w:t>
            </w:r>
          </w:p>
        </w:tc>
      </w:tr>
      <w:tr w:rsidR="00BE1858" w:rsidRPr="00EF3184" w:rsidTr="00132106">
        <w:trPr>
          <w:trHeight w:val="75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人工</w:t>
            </w:r>
          </w:p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鱼礁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人工鱼礁的设计、建造和投放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构件礁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：500元/空方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投石礁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：200元/立方米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用于礁体建造资金不低于人工鱼礁建设项目补助资金的70%，海藻场和海草床增殖修复补助资金不高于15%，其他补助内容的资金总额不高于15%。</w:t>
            </w:r>
          </w:p>
        </w:tc>
      </w:tr>
      <w:tr w:rsidR="00BE1858" w:rsidRPr="00EF3184" w:rsidTr="00132106">
        <w:trPr>
          <w:trHeight w:val="752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海藻场和海草床增殖修复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20万元/公顷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E1858" w:rsidRPr="00EF3184" w:rsidTr="00132106">
        <w:trPr>
          <w:trHeight w:val="1229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渔港航标等公共基础设施建设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沿海渔港标准化升级改造和整治维护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防波堤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：12万元/延米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码头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：8万元/延米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护岸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：3万元/延米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疏浚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：25元/立方米</w:t>
            </w:r>
          </w:p>
        </w:tc>
        <w:tc>
          <w:tcPr>
            <w:tcW w:w="34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沿海渔港项目中</w:t>
            </w:r>
            <w:r w:rsidRPr="00EF3184">
              <w:rPr>
                <w:rFonts w:ascii="仿宋" w:eastAsia="仿宋" w:hAnsi="仿宋" w:cs="宋体"/>
                <w:kern w:val="0"/>
                <w:sz w:val="24"/>
                <w:szCs w:val="24"/>
              </w:rPr>
              <w:t>防波堤、拦沙堤、码头、护岸、港池航道锚地疏浚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等，内陆渔港项目中</w:t>
            </w:r>
            <w:r w:rsidRPr="00EF3184">
              <w:rPr>
                <w:rFonts w:ascii="仿宋" w:eastAsia="仿宋" w:hAnsi="仿宋" w:cs="宋体"/>
                <w:kern w:val="0"/>
                <w:sz w:val="24"/>
                <w:szCs w:val="24"/>
              </w:rPr>
              <w:t>码头、护岸、港池航道疏浚、引桥、趸船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等，避风锚地项目中</w:t>
            </w:r>
            <w:r w:rsidRPr="00EF3184">
              <w:rPr>
                <w:rFonts w:ascii="仿宋" w:eastAsia="仿宋" w:hAnsi="仿宋" w:cs="宋体"/>
                <w:kern w:val="0"/>
                <w:sz w:val="24"/>
                <w:szCs w:val="24"/>
              </w:rPr>
              <w:t>防波堤、系泊岸线、航道锚地疏浚、系泊设施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等基础设施建设内容均应占项目总投资的75%以上。</w:t>
            </w:r>
          </w:p>
        </w:tc>
      </w:tr>
      <w:tr w:rsidR="00BE1858" w:rsidRPr="00EF3184" w:rsidTr="00132106">
        <w:trPr>
          <w:trHeight w:val="855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内陆渔港标准化改造和整治维护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码头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：8万元/延米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护岸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：2万元/延米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疏浚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：25元/立方米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E1858" w:rsidRPr="00EF3184" w:rsidTr="00132106">
        <w:trPr>
          <w:trHeight w:val="1425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避风锚地标准化改造和整治维护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防波堤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：12万元/延米</w:t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br/>
              <w:t>上岸码头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：5万元/延米</w:t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br/>
              <w:t>系泊岸线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：5万元/延米</w:t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br/>
              <w:t>浮筒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：30万/个</w:t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br/>
              <w:t>疏浚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：25元/立方米</w:t>
            </w:r>
          </w:p>
        </w:tc>
        <w:tc>
          <w:tcPr>
            <w:tcW w:w="34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</w:p>
        </w:tc>
      </w:tr>
      <w:tr w:rsidR="00BE1858" w:rsidRPr="00EF3184" w:rsidTr="00132106">
        <w:trPr>
          <w:trHeight w:val="57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渔港动态管理系统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每个渔港150万元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E1858" w:rsidRPr="00EF3184" w:rsidTr="00132106">
        <w:trPr>
          <w:trHeight w:val="570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渔用航标维修与养护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每个航标25万元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E1858" w:rsidRPr="00EF3184" w:rsidTr="00132106">
        <w:trPr>
          <w:trHeight w:val="900"/>
        </w:trPr>
        <w:tc>
          <w:tcPr>
            <w:tcW w:w="10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深水抗风浪网箱推广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深水网箱（周长40-120米）及其配套设施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每只深水网箱及其配套设施10-30万元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深水网箱周长为40-120米。</w:t>
            </w:r>
          </w:p>
        </w:tc>
      </w:tr>
      <w:tr w:rsidR="00BE1858" w:rsidRPr="00EF3184" w:rsidTr="00132106">
        <w:trPr>
          <w:trHeight w:val="1140"/>
        </w:trPr>
        <w:tc>
          <w:tcPr>
            <w:tcW w:w="10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海洋渔船通导与安全装备建设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海洋渔船通导与安全装备配备及升级改造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大中型渔船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：1.4万元/艘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小型渔船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：0.4万元/艘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大中型渔船为12米以上（含）；小型渔船为12米以下。</w:t>
            </w:r>
          </w:p>
        </w:tc>
      </w:tr>
      <w:tr w:rsidR="00BE1858" w:rsidRPr="00EF3184" w:rsidTr="00132106">
        <w:trPr>
          <w:trHeight w:val="855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岸台基站建设和升级运维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新建/升级基站及运行维护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：50万元/个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BE1858" w:rsidRPr="00EF3184" w:rsidTr="00132106">
        <w:trPr>
          <w:trHeight w:val="312"/>
        </w:trPr>
        <w:tc>
          <w:tcPr>
            <w:tcW w:w="10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E1858" w:rsidRPr="00EF3184" w:rsidRDefault="00BE1858" w:rsidP="00132106">
            <w:pPr>
              <w:widowControl/>
              <w:jc w:val="center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渔船动态监控管理系统及数据中心建设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b/>
                <w:bCs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沿海省（区）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：2000万元/省（区）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br/>
            </w:r>
            <w:r w:rsidRPr="00EF3184">
              <w:rPr>
                <w:rFonts w:ascii="仿宋" w:eastAsia="仿宋" w:hAnsi="仿宋" w:cs="宋体" w:hint="eastAsia"/>
                <w:b/>
                <w:kern w:val="0"/>
                <w:sz w:val="24"/>
                <w:szCs w:val="24"/>
              </w:rPr>
              <w:t>直辖市和</w:t>
            </w:r>
            <w:r w:rsidRPr="00EF3184">
              <w:rPr>
                <w:rFonts w:ascii="仿宋" w:eastAsia="仿宋" w:hAnsi="仿宋" w:cs="宋体" w:hint="eastAsia"/>
                <w:b/>
                <w:bCs/>
                <w:kern w:val="0"/>
                <w:sz w:val="24"/>
                <w:szCs w:val="24"/>
              </w:rPr>
              <w:t>计划单列市</w:t>
            </w: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：1200万元/市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858" w:rsidRPr="00EF3184" w:rsidRDefault="00BE1858" w:rsidP="00132106">
            <w:pPr>
              <w:widowControl/>
              <w:jc w:val="left"/>
              <w:rPr>
                <w:rFonts w:ascii="仿宋" w:eastAsia="仿宋" w:hAnsi="仿宋" w:cs="宋体"/>
                <w:kern w:val="0"/>
                <w:sz w:val="24"/>
                <w:szCs w:val="24"/>
              </w:rPr>
            </w:pPr>
            <w:r w:rsidRPr="00EF3184">
              <w:rPr>
                <w:rFonts w:ascii="仿宋" w:eastAsia="仿宋" w:hAnsi="仿宋" w:cs="宋体" w:hint="eastAsia"/>
                <w:kern w:val="0"/>
                <w:sz w:val="24"/>
                <w:szCs w:val="24"/>
              </w:rPr>
              <w:t>系统每年运转维护费上限为建设资金的10%；沿海省（市）包括：辽宁、河北、山东、江苏、浙江、福建、广东、海南、广西，直辖市和计划单列市包括：大连、天津、青岛、上海、宁波、厦门、深圳。</w:t>
            </w:r>
          </w:p>
        </w:tc>
      </w:tr>
    </w:tbl>
    <w:p w:rsidR="00CF0753" w:rsidRPr="00BE1858" w:rsidRDefault="00CF0753" w:rsidP="00BE1858"/>
    <w:sectPr w:rsidR="00CF0753" w:rsidRPr="00BE185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753" w:rsidRDefault="00CF0753" w:rsidP="00BE1858">
      <w:r>
        <w:separator/>
      </w:r>
    </w:p>
  </w:endnote>
  <w:endnote w:type="continuationSeparator" w:id="1">
    <w:p w:rsidR="00CF0753" w:rsidRDefault="00CF0753" w:rsidP="00BE18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753" w:rsidRDefault="00CF0753" w:rsidP="00BE1858">
      <w:r>
        <w:separator/>
      </w:r>
    </w:p>
  </w:footnote>
  <w:footnote w:type="continuationSeparator" w:id="1">
    <w:p w:rsidR="00CF0753" w:rsidRDefault="00CF0753" w:rsidP="00BE18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E1858"/>
    <w:rsid w:val="00BE1858"/>
    <w:rsid w:val="00CF07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858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E18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E185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E1858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E185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邢朝虹</dc:creator>
  <cp:keywords/>
  <dc:description/>
  <cp:lastModifiedBy>邢朝虹</cp:lastModifiedBy>
  <cp:revision>2</cp:revision>
  <dcterms:created xsi:type="dcterms:W3CDTF">2015-11-18T02:31:00Z</dcterms:created>
  <dcterms:modified xsi:type="dcterms:W3CDTF">2015-11-18T02:31:00Z</dcterms:modified>
</cp:coreProperties>
</file>